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C06754">
      <w:pPr>
        <w:ind w:left="1" w:hanging="1"/>
        <w:jc w:val="center"/>
        <w:rPr>
          <w:rFonts w:hint="eastAsia" w:ascii="Times New Roman" w:hAnsi="Times New Roman" w:eastAsia="宋体" w:cs="Times New Roman"/>
          <w:bCs/>
          <w:sz w:val="28"/>
          <w:lang w:eastAsia="zh-CN"/>
        </w:rPr>
      </w:pPr>
      <w:bookmarkStart w:id="0" w:name="_Toc30143"/>
    </w:p>
    <w:p w14:paraId="4A76EEC1">
      <w:pPr>
        <w:ind w:left="1" w:hanging="1"/>
        <w:jc w:val="center"/>
        <w:rPr>
          <w:rFonts w:hint="eastAsia" w:ascii="Times New Roman" w:hAnsi="Times New Roman" w:eastAsia="宋体" w:cs="Times New Roman"/>
          <w:bCs/>
          <w:sz w:val="28"/>
          <w:lang w:eastAsia="zh-CN"/>
        </w:rPr>
      </w:pPr>
    </w:p>
    <w:p w14:paraId="79FCA0A6">
      <w:pPr>
        <w:ind w:left="1" w:hanging="1"/>
        <w:jc w:val="center"/>
        <w:rPr>
          <w:rFonts w:hint="default" w:ascii="微软雅黑" w:hAnsi="微软雅黑" w:eastAsia="微软雅黑" w:cs="微软雅黑"/>
          <w:b/>
          <w:bCs/>
          <w:kern w:val="2"/>
          <w:sz w:val="52"/>
          <w:szCs w:val="52"/>
          <w:lang w:val="en-US" w:eastAsia="zh-CN" w:bidi="ar-SA"/>
        </w:rPr>
      </w:pPr>
      <w:r>
        <w:rPr>
          <w:rFonts w:hint="eastAsia" w:ascii="微软雅黑" w:hAnsi="微软雅黑" w:eastAsia="微软雅黑" w:cs="微软雅黑"/>
          <w:b/>
          <w:bCs/>
          <w:kern w:val="2"/>
          <w:sz w:val="52"/>
          <w:szCs w:val="52"/>
          <w:lang w:val="en-US" w:eastAsia="zh-CN" w:bidi="ar-SA"/>
        </w:rPr>
        <w:t>湖北省嘉丰泰华矿业有限公司白鸭山矿区C8区块饰面用花岗岩矿开采项目</w:t>
      </w:r>
    </w:p>
    <w:p w14:paraId="4BD7D2A6">
      <w:pPr>
        <w:ind w:left="1" w:hanging="1"/>
        <w:jc w:val="center"/>
        <w:rPr>
          <w:rFonts w:hint="default" w:ascii="微软雅黑" w:hAnsi="微软雅黑" w:eastAsia="微软雅黑" w:cs="微软雅黑"/>
          <w:b/>
          <w:bCs/>
          <w:kern w:val="2"/>
          <w:sz w:val="52"/>
          <w:szCs w:val="52"/>
          <w:lang w:val="en-US" w:eastAsia="zh-CN" w:bidi="ar-SA"/>
        </w:rPr>
      </w:pPr>
      <w:r>
        <w:rPr>
          <w:rFonts w:hint="eastAsia" w:ascii="微软雅黑" w:hAnsi="微软雅黑" w:eastAsia="微软雅黑" w:cs="微软雅黑"/>
          <w:b/>
          <w:bCs/>
          <w:kern w:val="2"/>
          <w:sz w:val="52"/>
          <w:szCs w:val="52"/>
          <w:lang w:val="en-US" w:eastAsia="zh-CN" w:bidi="ar-SA"/>
        </w:rPr>
        <w:t>分期</w:t>
      </w:r>
      <w:r>
        <w:rPr>
          <w:rFonts w:hint="default" w:ascii="微软雅黑" w:hAnsi="微软雅黑" w:eastAsia="微软雅黑" w:cs="微软雅黑"/>
          <w:b/>
          <w:bCs/>
          <w:kern w:val="2"/>
          <w:sz w:val="52"/>
          <w:szCs w:val="52"/>
          <w:lang w:val="en-US" w:eastAsia="zh-CN" w:bidi="ar-SA"/>
        </w:rPr>
        <w:t>竣工环境保护验收调查报告表</w:t>
      </w:r>
    </w:p>
    <w:p w14:paraId="5D0CFA2F">
      <w:pPr>
        <w:ind w:left="1" w:hanging="1"/>
        <w:jc w:val="center"/>
        <w:rPr>
          <w:rFonts w:hint="eastAsia" w:ascii="Times New Roman" w:hAnsi="Times New Roman" w:eastAsia="宋体" w:cs="Times New Roman"/>
          <w:bCs/>
          <w:sz w:val="28"/>
          <w:lang w:eastAsia="zh-CN"/>
        </w:rPr>
      </w:pPr>
    </w:p>
    <w:p w14:paraId="34BA63F5">
      <w:pPr>
        <w:ind w:left="1" w:hanging="1"/>
        <w:jc w:val="center"/>
        <w:rPr>
          <w:rFonts w:hint="eastAsia" w:ascii="Times New Roman" w:hAnsi="Times New Roman" w:eastAsia="宋体" w:cs="Times New Roman"/>
          <w:bCs/>
          <w:sz w:val="28"/>
          <w:lang w:eastAsia="zh-CN"/>
        </w:rPr>
      </w:pPr>
    </w:p>
    <w:p w14:paraId="488049B6">
      <w:pPr>
        <w:ind w:left="1" w:hanging="1"/>
        <w:jc w:val="center"/>
        <w:rPr>
          <w:rFonts w:hint="eastAsia" w:ascii="Times New Roman" w:hAnsi="Times New Roman" w:eastAsia="宋体" w:cs="Times New Roman"/>
          <w:bCs/>
          <w:sz w:val="28"/>
          <w:lang w:eastAsia="zh-CN"/>
        </w:rPr>
      </w:pPr>
    </w:p>
    <w:p w14:paraId="00E24AEC">
      <w:pPr>
        <w:ind w:left="1" w:hanging="1"/>
        <w:jc w:val="center"/>
        <w:rPr>
          <w:rFonts w:hint="eastAsia" w:ascii="Times New Roman" w:hAnsi="Times New Roman" w:eastAsia="宋体" w:cs="Times New Roman"/>
          <w:bCs/>
          <w:sz w:val="28"/>
          <w:lang w:eastAsia="zh-CN"/>
        </w:rPr>
      </w:pPr>
    </w:p>
    <w:p w14:paraId="08C35609">
      <w:pPr>
        <w:ind w:left="1" w:hanging="1"/>
        <w:jc w:val="center"/>
        <w:rPr>
          <w:rFonts w:hint="eastAsia" w:ascii="Times New Roman" w:hAnsi="Times New Roman" w:eastAsia="宋体" w:cs="Times New Roman"/>
          <w:bCs/>
          <w:sz w:val="28"/>
          <w:lang w:eastAsia="zh-CN"/>
        </w:rPr>
      </w:pPr>
    </w:p>
    <w:p w14:paraId="00AD2A38">
      <w:pPr>
        <w:ind w:left="1" w:hanging="1"/>
        <w:jc w:val="center"/>
        <w:rPr>
          <w:rFonts w:hint="eastAsia" w:ascii="Times New Roman" w:hAnsi="Times New Roman" w:eastAsia="宋体" w:cs="Times New Roman"/>
          <w:bCs/>
          <w:sz w:val="28"/>
          <w:lang w:eastAsia="zh-CN"/>
        </w:rPr>
      </w:pPr>
    </w:p>
    <w:p w14:paraId="10AA9C69">
      <w:pPr>
        <w:ind w:left="1" w:hanging="1"/>
        <w:jc w:val="center"/>
        <w:rPr>
          <w:rFonts w:hint="eastAsia" w:ascii="Times New Roman" w:hAnsi="Times New Roman" w:eastAsia="宋体" w:cs="Times New Roman"/>
          <w:bCs/>
          <w:sz w:val="28"/>
          <w:lang w:eastAsia="zh-CN"/>
        </w:rPr>
      </w:pPr>
    </w:p>
    <w:p w14:paraId="6344407E">
      <w:pPr>
        <w:ind w:left="1" w:hanging="1"/>
        <w:jc w:val="center"/>
        <w:rPr>
          <w:rFonts w:hint="eastAsia" w:ascii="Times New Roman" w:hAnsi="Times New Roman" w:eastAsia="宋体" w:cs="Times New Roman"/>
          <w:bCs/>
          <w:sz w:val="28"/>
          <w:lang w:eastAsia="zh-CN"/>
        </w:rPr>
      </w:pPr>
    </w:p>
    <w:p w14:paraId="69CCBAFD">
      <w:pPr>
        <w:ind w:left="1" w:hanging="1"/>
        <w:jc w:val="center"/>
        <w:rPr>
          <w:rFonts w:hint="eastAsia" w:ascii="Times New Roman" w:hAnsi="Times New Roman" w:eastAsia="宋体" w:cs="Times New Roman"/>
          <w:bCs/>
          <w:sz w:val="28"/>
          <w:lang w:eastAsia="zh-CN"/>
        </w:rPr>
      </w:pPr>
    </w:p>
    <w:p w14:paraId="00DE8E69">
      <w:pPr>
        <w:ind w:left="1" w:hanging="1"/>
        <w:jc w:val="center"/>
        <w:rPr>
          <w:rFonts w:hint="eastAsia" w:ascii="Times New Roman" w:hAnsi="Times New Roman" w:eastAsia="宋体" w:cs="Times New Roman"/>
          <w:bCs/>
          <w:sz w:val="28"/>
          <w:lang w:eastAsia="zh-CN"/>
        </w:rPr>
      </w:pPr>
    </w:p>
    <w:p w14:paraId="3F2EE2E8">
      <w:pPr>
        <w:ind w:left="1" w:hanging="1"/>
        <w:jc w:val="center"/>
        <w:rPr>
          <w:rFonts w:hint="eastAsia" w:ascii="Times New Roman" w:hAnsi="Times New Roman" w:eastAsia="宋体" w:cs="Times New Roman"/>
          <w:bCs/>
          <w:sz w:val="28"/>
          <w:lang w:eastAsia="zh-CN"/>
        </w:rPr>
      </w:pPr>
    </w:p>
    <w:p w14:paraId="063F918A">
      <w:pPr>
        <w:ind w:left="1" w:hanging="1"/>
        <w:jc w:val="center"/>
        <w:rPr>
          <w:rFonts w:hint="eastAsia" w:ascii="Times New Roman" w:hAnsi="Times New Roman" w:eastAsia="宋体" w:cs="Times New Roman"/>
          <w:bCs/>
          <w:sz w:val="28"/>
          <w:lang w:eastAsia="zh-CN"/>
        </w:rPr>
      </w:pPr>
    </w:p>
    <w:tbl>
      <w:tblPr>
        <w:tblStyle w:val="17"/>
        <w:tblpPr w:leftFromText="180" w:rightFromText="180" w:vertAnchor="text" w:horzAnchor="page" w:tblpXSpec="center" w:tblpY="-288"/>
        <w:tblOverlap w:val="never"/>
        <w:tblW w:w="0" w:type="auto"/>
        <w:jc w:val="center"/>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945"/>
        <w:gridCol w:w="5155"/>
      </w:tblGrid>
      <w:tr w14:paraId="7AC64B92">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43" w:hRule="atLeast"/>
          <w:jc w:val="center"/>
        </w:trPr>
        <w:tc>
          <w:tcPr>
            <w:tcW w:w="1945" w:type="dxa"/>
            <w:tcBorders>
              <w:top w:val="nil"/>
              <w:bottom w:val="nil"/>
            </w:tcBorders>
            <w:noWrap w:val="0"/>
            <w:vAlign w:val="center"/>
          </w:tcPr>
          <w:p w14:paraId="6980F736">
            <w:pPr>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建设单位：</w:t>
            </w:r>
          </w:p>
        </w:tc>
        <w:tc>
          <w:tcPr>
            <w:tcW w:w="5155" w:type="dxa"/>
            <w:tcBorders>
              <w:bottom w:val="nil"/>
            </w:tcBorders>
            <w:noWrap w:val="0"/>
            <w:vAlign w:val="center"/>
          </w:tcPr>
          <w:p w14:paraId="74222E65">
            <w:pPr>
              <w:jc w:val="both"/>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lang w:eastAsia="zh-CN"/>
              </w:rPr>
              <w:t>湖北省嘉丰泰华矿业有限公司</w:t>
            </w:r>
          </w:p>
        </w:tc>
      </w:tr>
      <w:tr w14:paraId="026196BA">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2" w:hRule="atLeast"/>
          <w:jc w:val="center"/>
        </w:trPr>
        <w:tc>
          <w:tcPr>
            <w:tcW w:w="1945" w:type="dxa"/>
            <w:tcBorders>
              <w:top w:val="nil"/>
              <w:bottom w:val="nil"/>
            </w:tcBorders>
            <w:noWrap w:val="0"/>
            <w:vAlign w:val="center"/>
          </w:tcPr>
          <w:p w14:paraId="78B987CE">
            <w:pPr>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编制单位：</w:t>
            </w:r>
          </w:p>
        </w:tc>
        <w:tc>
          <w:tcPr>
            <w:tcW w:w="5155" w:type="dxa"/>
            <w:tcBorders>
              <w:top w:val="nil"/>
              <w:bottom w:val="nil"/>
            </w:tcBorders>
            <w:noWrap w:val="0"/>
            <w:vAlign w:val="center"/>
          </w:tcPr>
          <w:p w14:paraId="473EE60F">
            <w:pPr>
              <w:jc w:val="both"/>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lang w:eastAsia="zh-CN"/>
              </w:rPr>
              <w:t>湖北省嘉丰泰华矿业有限公司</w:t>
            </w:r>
          </w:p>
        </w:tc>
      </w:tr>
    </w:tbl>
    <w:tbl>
      <w:tblPr>
        <w:tblStyle w:val="17"/>
        <w:tblpPr w:leftFromText="180" w:rightFromText="180" w:vertAnchor="text" w:horzAnchor="page" w:tblpXSpec="center" w:tblpY="689"/>
        <w:tblOverlap w:val="never"/>
        <w:tblW w:w="0" w:type="auto"/>
        <w:jc w:val="center"/>
        <w:tblLayout w:type="fixed"/>
        <w:tblCellMar>
          <w:top w:w="0" w:type="dxa"/>
          <w:left w:w="108" w:type="dxa"/>
          <w:bottom w:w="0" w:type="dxa"/>
          <w:right w:w="108" w:type="dxa"/>
        </w:tblCellMar>
      </w:tblPr>
      <w:tblGrid>
        <w:gridCol w:w="454"/>
        <w:gridCol w:w="454"/>
        <w:gridCol w:w="454"/>
        <w:gridCol w:w="454"/>
        <w:gridCol w:w="567"/>
        <w:gridCol w:w="845"/>
        <w:gridCol w:w="654"/>
      </w:tblGrid>
      <w:tr w14:paraId="0DBC83A8">
        <w:tblPrEx>
          <w:tblCellMar>
            <w:top w:w="0" w:type="dxa"/>
            <w:left w:w="108" w:type="dxa"/>
            <w:bottom w:w="0" w:type="dxa"/>
            <w:right w:w="108" w:type="dxa"/>
          </w:tblCellMar>
        </w:tblPrEx>
        <w:trPr>
          <w:cantSplit/>
          <w:trHeight w:val="312" w:hRule="atLeast"/>
          <w:jc w:val="center"/>
        </w:trPr>
        <w:tc>
          <w:tcPr>
            <w:tcW w:w="454" w:type="dxa"/>
            <w:noWrap w:val="0"/>
            <w:vAlign w:val="center"/>
          </w:tcPr>
          <w:p w14:paraId="48C1CFFF">
            <w:pPr>
              <w:keepNext w:val="0"/>
              <w:keepLines w:val="0"/>
              <w:pageBreakBefore w:val="0"/>
              <w:widowControl w:val="0"/>
              <w:kinsoku/>
              <w:wordWrap/>
              <w:overflowPunct/>
              <w:topLinePunct w:val="0"/>
              <w:autoSpaceDE w:val="0"/>
              <w:autoSpaceDN w:val="0"/>
              <w:bidi w:val="0"/>
              <w:adjustRightInd/>
              <w:snapToGrid/>
              <w:ind w:right="0" w:rightChars="0" w:firstLine="0"/>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二</w:t>
            </w:r>
          </w:p>
        </w:tc>
        <w:tc>
          <w:tcPr>
            <w:tcW w:w="454" w:type="dxa"/>
            <w:noWrap w:val="0"/>
            <w:vAlign w:val="center"/>
          </w:tcPr>
          <w:p w14:paraId="1C88D0B4">
            <w:pPr>
              <w:keepNext w:val="0"/>
              <w:keepLines w:val="0"/>
              <w:pageBreakBefore w:val="0"/>
              <w:widowControl w:val="0"/>
              <w:kinsoku/>
              <w:wordWrap/>
              <w:overflowPunct/>
              <w:topLinePunct w:val="0"/>
              <w:autoSpaceDE w:val="0"/>
              <w:autoSpaceDN w:val="0"/>
              <w:bidi w:val="0"/>
              <w:adjustRightInd/>
              <w:snapToGrid/>
              <w:ind w:right="0" w:rightChars="0" w:firstLine="0"/>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O</w:t>
            </w:r>
          </w:p>
        </w:tc>
        <w:tc>
          <w:tcPr>
            <w:tcW w:w="454" w:type="dxa"/>
            <w:noWrap w:val="0"/>
            <w:vAlign w:val="center"/>
          </w:tcPr>
          <w:p w14:paraId="08A2058A">
            <w:pPr>
              <w:keepNext w:val="0"/>
              <w:keepLines w:val="0"/>
              <w:pageBreakBefore w:val="0"/>
              <w:widowControl w:val="0"/>
              <w:kinsoku/>
              <w:wordWrap/>
              <w:overflowPunct/>
              <w:topLinePunct w:val="0"/>
              <w:autoSpaceDE w:val="0"/>
              <w:autoSpaceDN w:val="0"/>
              <w:bidi w:val="0"/>
              <w:adjustRightInd/>
              <w:snapToGrid/>
              <w:ind w:right="0" w:rightChars="0" w:firstLine="0"/>
              <w:jc w:val="center"/>
              <w:textAlignment w:val="auto"/>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二</w:t>
            </w:r>
          </w:p>
        </w:tc>
        <w:tc>
          <w:tcPr>
            <w:tcW w:w="454" w:type="dxa"/>
            <w:noWrap w:val="0"/>
            <w:vAlign w:val="center"/>
          </w:tcPr>
          <w:p w14:paraId="49451130">
            <w:pPr>
              <w:keepNext w:val="0"/>
              <w:keepLines w:val="0"/>
              <w:pageBreakBefore w:val="0"/>
              <w:widowControl w:val="0"/>
              <w:kinsoku/>
              <w:wordWrap/>
              <w:overflowPunct/>
              <w:topLinePunct w:val="0"/>
              <w:autoSpaceDE w:val="0"/>
              <w:autoSpaceDN w:val="0"/>
              <w:bidi w:val="0"/>
              <w:adjustRightInd/>
              <w:snapToGrid/>
              <w:ind w:right="0" w:rightChars="0" w:firstLine="0"/>
              <w:jc w:val="center"/>
              <w:textAlignment w:val="auto"/>
              <w:rPr>
                <w:rFonts w:hint="default"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五</w:t>
            </w:r>
          </w:p>
        </w:tc>
        <w:tc>
          <w:tcPr>
            <w:tcW w:w="567" w:type="dxa"/>
            <w:noWrap w:val="0"/>
            <w:vAlign w:val="center"/>
          </w:tcPr>
          <w:p w14:paraId="4430EDF2">
            <w:pPr>
              <w:keepNext w:val="0"/>
              <w:keepLines w:val="0"/>
              <w:pageBreakBefore w:val="0"/>
              <w:widowControl w:val="0"/>
              <w:kinsoku/>
              <w:wordWrap/>
              <w:overflowPunct/>
              <w:topLinePunct w:val="0"/>
              <w:autoSpaceDE w:val="0"/>
              <w:autoSpaceDN w:val="0"/>
              <w:bidi w:val="0"/>
              <w:adjustRightInd/>
              <w:snapToGrid/>
              <w:ind w:right="0" w:rightChars="0" w:firstLine="0"/>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年</w:t>
            </w:r>
          </w:p>
        </w:tc>
        <w:tc>
          <w:tcPr>
            <w:tcW w:w="845" w:type="dxa"/>
            <w:noWrap w:val="0"/>
            <w:vAlign w:val="center"/>
          </w:tcPr>
          <w:p w14:paraId="06EEA3C3">
            <w:pPr>
              <w:keepNext w:val="0"/>
              <w:keepLines w:val="0"/>
              <w:pageBreakBefore w:val="0"/>
              <w:widowControl w:val="0"/>
              <w:kinsoku/>
              <w:wordWrap/>
              <w:overflowPunct/>
              <w:topLinePunct w:val="0"/>
              <w:autoSpaceDE w:val="0"/>
              <w:autoSpaceDN w:val="0"/>
              <w:bidi w:val="0"/>
              <w:adjustRightInd/>
              <w:snapToGrid/>
              <w:ind w:right="0" w:rightChars="0" w:firstLine="0"/>
              <w:jc w:val="center"/>
              <w:textAlignment w:val="auto"/>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val="en-US" w:eastAsia="zh-CN"/>
              </w:rPr>
              <w:t>十一</w:t>
            </w:r>
          </w:p>
        </w:tc>
        <w:tc>
          <w:tcPr>
            <w:tcW w:w="654" w:type="dxa"/>
            <w:noWrap w:val="0"/>
            <w:vAlign w:val="center"/>
          </w:tcPr>
          <w:p w14:paraId="32E120BE">
            <w:pPr>
              <w:keepNext w:val="0"/>
              <w:keepLines w:val="0"/>
              <w:pageBreakBefore w:val="0"/>
              <w:widowControl w:val="0"/>
              <w:kinsoku/>
              <w:wordWrap/>
              <w:overflowPunct/>
              <w:topLinePunct w:val="0"/>
              <w:autoSpaceDE w:val="0"/>
              <w:autoSpaceDN w:val="0"/>
              <w:bidi w:val="0"/>
              <w:adjustRightInd/>
              <w:snapToGrid/>
              <w:ind w:right="0" w:rightChars="0" w:firstLine="0"/>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月</w:t>
            </w:r>
          </w:p>
        </w:tc>
      </w:tr>
    </w:tbl>
    <w:p w14:paraId="0BECA7C5">
      <w:pPr>
        <w:pStyle w:val="2"/>
        <w:numPr>
          <w:ilvl w:val="3"/>
          <w:numId w:val="0"/>
        </w:numPr>
        <w:ind w:leftChars="0"/>
        <w:jc w:val="center"/>
        <w:rPr>
          <w:rFonts w:hint="default" w:ascii="Times New Roman" w:hAnsi="Times New Roman" w:cs="Times New Roman"/>
          <w:color w:val="000000"/>
          <w:sz w:val="32"/>
          <w:szCs w:val="32"/>
          <w:u w:val="none"/>
        </w:rPr>
      </w:pPr>
    </w:p>
    <w:p w14:paraId="3E9557E6">
      <w:pPr>
        <w:rPr>
          <w:rFonts w:hint="default"/>
        </w:rPr>
        <w:sectPr>
          <w:headerReference r:id="rId5" w:type="default"/>
          <w:footerReference r:id="rId6" w:type="default"/>
          <w:footerReference r:id="rId7" w:type="even"/>
          <w:pgSz w:w="11906" w:h="16838"/>
          <w:pgMar w:top="1440" w:right="1332" w:bottom="1440" w:left="1332" w:header="850" w:footer="850" w:gutter="0"/>
          <w:pgBorders>
            <w:top w:val="none" w:sz="0" w:space="0"/>
            <w:left w:val="none" w:sz="0" w:space="0"/>
            <w:bottom w:val="none" w:sz="0" w:space="0"/>
            <w:right w:val="none" w:sz="0" w:space="0"/>
          </w:pgBorders>
          <w:pgNumType w:fmt="decimal" w:start="1"/>
          <w:cols w:space="720" w:num="1"/>
          <w:rtlGutter w:val="0"/>
          <w:docGrid w:type="lines" w:linePitch="312" w:charSpace="0"/>
        </w:sectPr>
      </w:pPr>
    </w:p>
    <w:bookmarkEnd w:id="0"/>
    <w:p w14:paraId="157D1AD2">
      <w:pPr>
        <w:keepNext w:val="0"/>
        <w:keepLines w:val="0"/>
        <w:pageBreakBefore w:val="0"/>
        <w:widowControl w:val="0"/>
        <w:kinsoku/>
        <w:wordWrap/>
        <w:overflowPunct/>
        <w:topLinePunct w:val="0"/>
        <w:autoSpaceDE/>
        <w:autoSpaceDN/>
        <w:bidi w:val="0"/>
        <w:adjustRightInd/>
        <w:snapToGrid/>
        <w:spacing w:line="0" w:lineRule="atLeast"/>
        <w:jc w:val="both"/>
        <w:textAlignment w:val="auto"/>
        <w:outlineLvl w:val="9"/>
        <w:rPr>
          <w:rFonts w:hint="default" w:ascii="Times New Roman" w:hAnsi="Times New Roman" w:eastAsia="宋体" w:cs="Times New Roman"/>
          <w:b/>
          <w:color w:val="000000"/>
          <w:sz w:val="32"/>
          <w:szCs w:val="32"/>
        </w:rPr>
      </w:pPr>
      <w:bookmarkStart w:id="1" w:name="_Toc13835"/>
      <w:r>
        <w:rPr>
          <w:rFonts w:hint="default" w:ascii="Times New Roman" w:hAnsi="Times New Roman" w:eastAsia="宋体" w:cs="Times New Roman"/>
          <w:b/>
          <w:color w:val="000000"/>
          <w:sz w:val="32"/>
          <w:szCs w:val="32"/>
        </w:rPr>
        <w:t>建设单位:</w:t>
      </w:r>
      <w:r>
        <w:rPr>
          <w:rFonts w:hint="eastAsia" w:cs="Times New Roman"/>
          <w:color w:val="000000"/>
          <w:sz w:val="32"/>
          <w:szCs w:val="32"/>
          <w:u w:val="none"/>
          <w:lang w:eastAsia="zh-CN"/>
        </w:rPr>
        <w:t>湖北省嘉丰泰华矿业有限公司</w:t>
      </w:r>
    </w:p>
    <w:p w14:paraId="163FFB7F">
      <w:pPr>
        <w:tabs>
          <w:tab w:val="left" w:pos="540"/>
          <w:tab w:val="left" w:pos="1100"/>
          <w:tab w:val="left" w:pos="1660"/>
        </w:tabs>
        <w:spacing w:line="0" w:lineRule="atLeast"/>
        <w:rPr>
          <w:rFonts w:hint="default" w:ascii="Times New Roman" w:hAnsi="Times New Roman" w:eastAsia="宋体" w:cs="Times New Roman"/>
          <w:b/>
          <w:color w:val="000000"/>
          <w:sz w:val="32"/>
          <w:szCs w:val="32"/>
        </w:rPr>
      </w:pPr>
    </w:p>
    <w:p w14:paraId="5894F82B">
      <w:pPr>
        <w:tabs>
          <w:tab w:val="left" w:pos="540"/>
          <w:tab w:val="left" w:pos="1100"/>
          <w:tab w:val="left" w:pos="1660"/>
        </w:tabs>
        <w:spacing w:line="0" w:lineRule="atLeast"/>
        <w:rPr>
          <w:rFonts w:hint="default" w:ascii="Times New Roman" w:hAnsi="Times New Roman" w:eastAsia="宋体" w:cs="Times New Roman"/>
          <w:color w:val="000000"/>
          <w:sz w:val="32"/>
          <w:szCs w:val="32"/>
          <w:lang w:val="en-US" w:eastAsia="zh-CN"/>
        </w:rPr>
      </w:pPr>
      <w:r>
        <w:rPr>
          <w:rFonts w:hint="default" w:ascii="Times New Roman" w:hAnsi="Times New Roman" w:eastAsia="宋体" w:cs="Times New Roman"/>
          <w:b/>
          <w:color w:val="000000"/>
          <w:sz w:val="32"/>
          <w:szCs w:val="32"/>
        </w:rPr>
        <w:t>法人代表:</w:t>
      </w:r>
      <w:r>
        <w:rPr>
          <w:rFonts w:hint="eastAsia" w:cs="Times New Roman"/>
          <w:b w:val="0"/>
          <w:bCs/>
          <w:color w:val="000000"/>
          <w:sz w:val="32"/>
          <w:szCs w:val="32"/>
          <w:lang w:val="en-US" w:eastAsia="zh-CN"/>
        </w:rPr>
        <w:t>郑劲涛</w:t>
      </w:r>
    </w:p>
    <w:p w14:paraId="0C0D0F23">
      <w:pPr>
        <w:tabs>
          <w:tab w:val="left" w:pos="540"/>
          <w:tab w:val="left" w:pos="1100"/>
          <w:tab w:val="left" w:pos="1660"/>
        </w:tabs>
        <w:spacing w:line="0" w:lineRule="atLeast"/>
        <w:rPr>
          <w:rFonts w:hint="default" w:ascii="Times New Roman" w:hAnsi="Times New Roman" w:eastAsia="宋体" w:cs="Times New Roman"/>
          <w:b/>
          <w:color w:val="000000"/>
          <w:sz w:val="32"/>
          <w:szCs w:val="32"/>
        </w:rPr>
      </w:pPr>
    </w:p>
    <w:p w14:paraId="546A5D83">
      <w:pPr>
        <w:spacing w:line="0" w:lineRule="atLeast"/>
        <w:rPr>
          <w:rFonts w:hint="default" w:ascii="Times New Roman" w:hAnsi="Times New Roman" w:eastAsia="宋体" w:cs="Times New Roman"/>
          <w:b w:val="0"/>
          <w:bCs/>
          <w:color w:val="000000"/>
          <w:sz w:val="32"/>
          <w:szCs w:val="32"/>
          <w:lang w:val="en-US" w:eastAsia="zh-CN"/>
        </w:rPr>
      </w:pPr>
      <w:r>
        <w:rPr>
          <w:rFonts w:hint="default" w:ascii="Times New Roman" w:hAnsi="Times New Roman" w:eastAsia="宋体" w:cs="Times New Roman"/>
          <w:b/>
          <w:color w:val="000000"/>
          <w:sz w:val="32"/>
          <w:szCs w:val="32"/>
        </w:rPr>
        <w:t>电话:</w:t>
      </w:r>
      <w:r>
        <w:rPr>
          <w:rFonts w:hint="default" w:ascii="Times New Roman" w:hAnsi="Times New Roman" w:eastAsia="宋体" w:cs="Times New Roman"/>
          <w:b w:val="0"/>
          <w:bCs/>
          <w:color w:val="000000"/>
          <w:sz w:val="32"/>
          <w:szCs w:val="32"/>
          <w:lang w:val="en-US" w:eastAsia="zh-CN"/>
        </w:rPr>
        <w:t>18162898666</w:t>
      </w:r>
    </w:p>
    <w:p w14:paraId="04DA381B">
      <w:pPr>
        <w:spacing w:line="0" w:lineRule="atLeast"/>
        <w:rPr>
          <w:rFonts w:hint="default" w:ascii="Times New Roman" w:hAnsi="Times New Roman" w:eastAsia="宋体" w:cs="Times New Roman"/>
          <w:b/>
          <w:color w:val="000000"/>
          <w:sz w:val="32"/>
          <w:szCs w:val="32"/>
        </w:rPr>
      </w:pPr>
    </w:p>
    <w:p w14:paraId="2E42E871">
      <w:pPr>
        <w:spacing w:line="0" w:lineRule="atLeast"/>
        <w:rPr>
          <w:rFonts w:hint="default" w:ascii="Times New Roman" w:hAnsi="Times New Roman" w:eastAsia="宋体" w:cs="Times New Roman"/>
          <w:b w:val="0"/>
          <w:bCs/>
          <w:color w:val="000000"/>
          <w:sz w:val="32"/>
          <w:szCs w:val="32"/>
          <w:lang w:val="en-US" w:eastAsia="zh-CN"/>
        </w:rPr>
      </w:pPr>
      <w:r>
        <w:rPr>
          <w:rFonts w:hint="default" w:ascii="Times New Roman" w:hAnsi="Times New Roman" w:eastAsia="宋体" w:cs="Times New Roman"/>
          <w:b/>
          <w:color w:val="000000"/>
          <w:sz w:val="32"/>
          <w:szCs w:val="32"/>
        </w:rPr>
        <w:t>邮编:</w:t>
      </w:r>
      <w:r>
        <w:rPr>
          <w:rFonts w:hint="default" w:ascii="Times New Roman" w:hAnsi="Times New Roman" w:eastAsia="宋体" w:cs="Times New Roman"/>
          <w:b w:val="0"/>
          <w:bCs/>
          <w:color w:val="000000"/>
          <w:sz w:val="32"/>
          <w:szCs w:val="32"/>
        </w:rPr>
        <w:t>438336</w:t>
      </w:r>
    </w:p>
    <w:p w14:paraId="53056294">
      <w:pPr>
        <w:spacing w:line="0" w:lineRule="atLeast"/>
        <w:rPr>
          <w:rFonts w:hint="default" w:ascii="Times New Roman" w:hAnsi="Times New Roman" w:eastAsia="宋体" w:cs="Times New Roman"/>
          <w:b/>
          <w:color w:val="000000"/>
          <w:sz w:val="32"/>
          <w:szCs w:val="32"/>
        </w:rPr>
      </w:pPr>
    </w:p>
    <w:p w14:paraId="409D01E9">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val="0"/>
          <w:bCs/>
          <w:sz w:val="28"/>
          <w:szCs w:val="28"/>
        </w:rPr>
        <w:sectPr>
          <w:headerReference r:id="rId8" w:type="default"/>
          <w:footerReference r:id="rId9" w:type="default"/>
          <w:pgSz w:w="11911" w:h="16838"/>
          <w:pgMar w:top="1440" w:right="1361" w:bottom="1440" w:left="1361" w:header="907" w:footer="918" w:gutter="0"/>
          <w:pgBorders>
            <w:top w:val="none" w:sz="0" w:space="0"/>
            <w:left w:val="none" w:sz="0" w:space="0"/>
            <w:bottom w:val="none" w:sz="0" w:space="0"/>
            <w:right w:val="none" w:sz="0" w:space="0"/>
          </w:pgBorders>
          <w:pgNumType w:fmt="decimal" w:start="1"/>
          <w:cols w:space="720" w:num="1"/>
          <w:rtlGutter w:val="0"/>
          <w:docGrid w:linePitch="0" w:charSpace="0"/>
        </w:sectPr>
      </w:pPr>
      <w:r>
        <w:rPr>
          <w:rFonts w:hint="default" w:ascii="Times New Roman" w:hAnsi="Times New Roman" w:cs="Times New Roman"/>
          <w:b/>
          <w:color w:val="000000"/>
          <w:sz w:val="32"/>
          <w:szCs w:val="32"/>
          <w:lang w:eastAsia="zh-CN"/>
        </w:rPr>
        <w:t>地址</w:t>
      </w:r>
      <w:r>
        <w:rPr>
          <w:rFonts w:hint="default" w:ascii="Times New Roman" w:hAnsi="Times New Roman" w:eastAsia="宋体" w:cs="Times New Roman"/>
          <w:b/>
          <w:color w:val="000000"/>
          <w:sz w:val="32"/>
          <w:szCs w:val="32"/>
        </w:rPr>
        <w:t>:</w:t>
      </w:r>
      <w:r>
        <w:rPr>
          <w:rFonts w:hint="default" w:ascii="Times New Roman" w:hAnsi="Times New Roman" w:eastAsia="宋体" w:cs="Times New Roman"/>
          <w:b w:val="0"/>
          <w:bCs/>
          <w:color w:val="000000"/>
          <w:sz w:val="32"/>
          <w:szCs w:val="32"/>
        </w:rPr>
        <w:t>麻城市白鸭山矿区C</w:t>
      </w:r>
      <w:r>
        <w:rPr>
          <w:rFonts w:hint="eastAsia" w:cs="Times New Roman"/>
          <w:b w:val="0"/>
          <w:bCs/>
          <w:color w:val="000000"/>
          <w:sz w:val="32"/>
          <w:szCs w:val="32"/>
          <w:lang w:val="en-US" w:eastAsia="zh-CN"/>
        </w:rPr>
        <w:t>8</w:t>
      </w:r>
      <w:r>
        <w:rPr>
          <w:rFonts w:hint="default" w:ascii="Times New Roman" w:hAnsi="Times New Roman" w:eastAsia="宋体" w:cs="Times New Roman"/>
          <w:b w:val="0"/>
          <w:bCs/>
          <w:color w:val="000000"/>
          <w:sz w:val="32"/>
          <w:szCs w:val="32"/>
        </w:rPr>
        <w:t>区块</w:t>
      </w:r>
    </w:p>
    <w:p w14:paraId="3B5CF318">
      <w:pPr>
        <w:pStyle w:val="3"/>
        <w:keepNext/>
        <w:keepLines/>
        <w:pageBreakBefore w:val="0"/>
        <w:widowControl w:val="0"/>
        <w:kinsoku/>
        <w:wordWrap/>
        <w:overflowPunct/>
        <w:topLinePunct w:val="0"/>
        <w:autoSpaceDE w:val="0"/>
        <w:autoSpaceDN w:val="0"/>
        <w:bidi w:val="0"/>
        <w:adjustRightInd/>
        <w:snapToGrid/>
        <w:spacing w:before="0" w:after="0" w:line="377" w:lineRule="auto"/>
        <w:jc w:val="center"/>
        <w:textAlignment w:val="auto"/>
        <w:outlineLvl w:val="0"/>
        <w:rPr>
          <w:rFonts w:hint="default" w:ascii="Times New Roman" w:hAnsi="Times New Roman" w:cs="Times New Roman"/>
          <w:color w:val="auto"/>
          <w:sz w:val="40"/>
          <w:szCs w:val="40"/>
          <w:lang w:val="en-US" w:eastAsia="zh-CN"/>
        </w:rPr>
      </w:pPr>
      <w:bookmarkStart w:id="2" w:name="_Toc21506"/>
      <w:r>
        <w:rPr>
          <w:rFonts w:hint="default" w:ascii="Times New Roman" w:hAnsi="Times New Roman" w:cs="Times New Roman"/>
          <w:color w:val="auto"/>
          <w:sz w:val="40"/>
          <w:szCs w:val="40"/>
          <w:lang w:val="en-US" w:eastAsia="zh-CN"/>
        </w:rPr>
        <w:t>目  录</w:t>
      </w:r>
      <w:bookmarkEnd w:id="2"/>
    </w:p>
    <w:p w14:paraId="757D966D">
      <w:pPr>
        <w:pStyle w:val="14"/>
        <w:tabs>
          <w:tab w:val="right" w:leader="dot" w:pos="9189"/>
        </w:tabs>
      </w:pPr>
      <w:r>
        <w:rPr>
          <w:rFonts w:hint="default" w:ascii="Times New Roman" w:hAnsi="Times New Roman" w:eastAsia="宋体" w:cs="Times New Roman"/>
          <w:color w:val="auto"/>
          <w:sz w:val="28"/>
          <w:szCs w:val="28"/>
          <w:lang w:val="en-US" w:eastAsia="zh-CN"/>
        </w:rPr>
        <w:fldChar w:fldCharType="begin"/>
      </w:r>
      <w:r>
        <w:rPr>
          <w:rFonts w:hint="default" w:ascii="Times New Roman" w:hAnsi="Times New Roman" w:eastAsia="宋体" w:cs="Times New Roman"/>
          <w:color w:val="auto"/>
          <w:sz w:val="28"/>
          <w:szCs w:val="28"/>
          <w:lang w:val="en-US" w:eastAsia="zh-CN"/>
        </w:rPr>
        <w:instrText xml:space="preserve">TOC \o "1-1" \h \u </w:instrText>
      </w:r>
      <w:r>
        <w:rPr>
          <w:rFonts w:hint="default" w:ascii="Times New Roman" w:hAnsi="Times New Roman" w:eastAsia="宋体" w:cs="Times New Roman"/>
          <w:color w:val="auto"/>
          <w:sz w:val="28"/>
          <w:szCs w:val="28"/>
          <w:lang w:val="en-US" w:eastAsia="zh-CN"/>
        </w:rPr>
        <w:fldChar w:fldCharType="separate"/>
      </w:r>
    </w:p>
    <w:p w14:paraId="34BA7DF3">
      <w:pPr>
        <w:pStyle w:val="14"/>
        <w:tabs>
          <w:tab w:val="right" w:leader="dot" w:pos="9189"/>
        </w:tabs>
      </w:pPr>
      <w:r>
        <w:rPr>
          <w:rFonts w:hint="default" w:ascii="Times New Roman" w:hAnsi="Times New Roman" w:eastAsia="宋体" w:cs="Times New Roman"/>
          <w:color w:val="auto"/>
          <w:szCs w:val="28"/>
          <w:lang w:val="en-US" w:eastAsia="zh-CN"/>
        </w:rPr>
        <w:fldChar w:fldCharType="begin"/>
      </w:r>
      <w:r>
        <w:rPr>
          <w:rFonts w:hint="default" w:ascii="Times New Roman" w:hAnsi="Times New Roman" w:eastAsia="宋体" w:cs="Times New Roman"/>
          <w:szCs w:val="28"/>
          <w:lang w:val="en-US" w:eastAsia="zh-CN"/>
        </w:rPr>
        <w:instrText xml:space="preserve"> HYPERLINK \l _Toc10071 </w:instrText>
      </w:r>
      <w:r>
        <w:rPr>
          <w:rFonts w:hint="default" w:ascii="Times New Roman" w:hAnsi="Times New Roman" w:eastAsia="宋体" w:cs="Times New Roman"/>
          <w:szCs w:val="28"/>
          <w:lang w:val="en-US" w:eastAsia="zh-CN"/>
        </w:rPr>
        <w:fldChar w:fldCharType="separate"/>
      </w:r>
      <w:r>
        <w:rPr>
          <w:rFonts w:hint="default" w:ascii="Times New Roman" w:hAnsi="Times New Roman" w:eastAsia="宋体" w:cs="Times New Roman"/>
          <w:bCs/>
          <w:kern w:val="0"/>
          <w:szCs w:val="56"/>
          <w:lang w:val="en-US" w:bidi="ar-SA"/>
        </w:rPr>
        <w:t>表</w:t>
      </w:r>
      <w:r>
        <w:rPr>
          <w:rFonts w:hint="default" w:ascii="Times New Roman" w:hAnsi="Times New Roman" w:eastAsia="宋体" w:cs="Times New Roman"/>
          <w:bCs/>
          <w:kern w:val="0"/>
          <w:szCs w:val="56"/>
          <w:lang w:val="en-US" w:eastAsia="zh-CN" w:bidi="ar-SA"/>
        </w:rPr>
        <w:t xml:space="preserve">1  </w:t>
      </w:r>
      <w:r>
        <w:rPr>
          <w:rFonts w:hint="default" w:ascii="Times New Roman" w:hAnsi="Times New Roman" w:eastAsia="宋体" w:cs="Times New Roman"/>
          <w:bCs/>
          <w:kern w:val="0"/>
          <w:szCs w:val="56"/>
          <w:lang w:val="en-US" w:bidi="ar-SA"/>
        </w:rPr>
        <w:t>项目总体情况</w:t>
      </w:r>
      <w:r>
        <w:tab/>
      </w:r>
      <w:r>
        <w:fldChar w:fldCharType="begin"/>
      </w:r>
      <w:r>
        <w:instrText xml:space="preserve"> PAGEREF _Toc10071 \h </w:instrText>
      </w:r>
      <w:r>
        <w:fldChar w:fldCharType="separate"/>
      </w:r>
      <w:r>
        <w:t>1</w:t>
      </w:r>
      <w:r>
        <w:fldChar w:fldCharType="end"/>
      </w:r>
      <w:r>
        <w:rPr>
          <w:rFonts w:hint="default" w:ascii="Times New Roman" w:hAnsi="Times New Roman" w:eastAsia="宋体" w:cs="Times New Roman"/>
          <w:color w:val="auto"/>
          <w:szCs w:val="28"/>
          <w:lang w:val="en-US" w:eastAsia="zh-CN"/>
        </w:rPr>
        <w:fldChar w:fldCharType="end"/>
      </w:r>
    </w:p>
    <w:p w14:paraId="38A0FE50">
      <w:pPr>
        <w:pStyle w:val="14"/>
        <w:tabs>
          <w:tab w:val="right" w:leader="dot" w:pos="9189"/>
        </w:tabs>
      </w:pPr>
      <w:r>
        <w:rPr>
          <w:rFonts w:hint="default" w:ascii="Times New Roman" w:hAnsi="Times New Roman" w:eastAsia="宋体" w:cs="Times New Roman"/>
          <w:color w:val="auto"/>
          <w:szCs w:val="28"/>
          <w:lang w:val="en-US" w:eastAsia="zh-CN"/>
        </w:rPr>
        <w:fldChar w:fldCharType="begin"/>
      </w:r>
      <w:r>
        <w:rPr>
          <w:rFonts w:hint="default" w:ascii="Times New Roman" w:hAnsi="Times New Roman" w:eastAsia="宋体" w:cs="Times New Roman"/>
          <w:szCs w:val="28"/>
          <w:lang w:val="en-US" w:eastAsia="zh-CN"/>
        </w:rPr>
        <w:instrText xml:space="preserve"> HYPERLINK \l _Toc11920 </w:instrText>
      </w:r>
      <w:r>
        <w:rPr>
          <w:rFonts w:hint="default" w:ascii="Times New Roman" w:hAnsi="Times New Roman" w:eastAsia="宋体" w:cs="Times New Roman"/>
          <w:szCs w:val="28"/>
          <w:lang w:val="en-US" w:eastAsia="zh-CN"/>
        </w:rPr>
        <w:fldChar w:fldCharType="separate"/>
      </w:r>
      <w:r>
        <w:rPr>
          <w:rFonts w:hint="default" w:ascii="Times New Roman" w:hAnsi="Times New Roman" w:eastAsia="宋体" w:cs="Times New Roman"/>
          <w:bCs/>
          <w:kern w:val="0"/>
          <w:szCs w:val="56"/>
          <w:lang w:val="en-US" w:bidi="ar-SA"/>
        </w:rPr>
        <w:t>表2</w:t>
      </w:r>
      <w:r>
        <w:rPr>
          <w:rFonts w:hint="default" w:ascii="Times New Roman" w:hAnsi="Times New Roman" w:eastAsia="宋体" w:cs="Times New Roman"/>
          <w:bCs/>
          <w:kern w:val="0"/>
          <w:szCs w:val="56"/>
          <w:lang w:val="en-US" w:eastAsia="zh-CN" w:bidi="ar-SA"/>
        </w:rPr>
        <w:t xml:space="preserve">  </w:t>
      </w:r>
      <w:r>
        <w:rPr>
          <w:rFonts w:hint="default" w:ascii="Times New Roman" w:hAnsi="Times New Roman" w:eastAsia="宋体" w:cs="Times New Roman"/>
          <w:bCs/>
          <w:kern w:val="0"/>
          <w:szCs w:val="56"/>
          <w:lang w:val="en-US" w:bidi="ar-SA"/>
        </w:rPr>
        <w:t>调查范围、因子、目标、重点</w:t>
      </w:r>
      <w:r>
        <w:tab/>
      </w:r>
      <w:r>
        <w:fldChar w:fldCharType="begin"/>
      </w:r>
      <w:r>
        <w:instrText xml:space="preserve"> PAGEREF _Toc11920 \h </w:instrText>
      </w:r>
      <w:r>
        <w:fldChar w:fldCharType="separate"/>
      </w:r>
      <w:r>
        <w:t>4</w:t>
      </w:r>
      <w:r>
        <w:fldChar w:fldCharType="end"/>
      </w:r>
      <w:r>
        <w:rPr>
          <w:rFonts w:hint="default" w:ascii="Times New Roman" w:hAnsi="Times New Roman" w:eastAsia="宋体" w:cs="Times New Roman"/>
          <w:color w:val="auto"/>
          <w:szCs w:val="28"/>
          <w:lang w:val="en-US" w:eastAsia="zh-CN"/>
        </w:rPr>
        <w:fldChar w:fldCharType="end"/>
      </w:r>
    </w:p>
    <w:p w14:paraId="6E36A781">
      <w:pPr>
        <w:pStyle w:val="14"/>
        <w:tabs>
          <w:tab w:val="right" w:leader="dot" w:pos="9189"/>
        </w:tabs>
      </w:pPr>
      <w:r>
        <w:rPr>
          <w:rFonts w:hint="default" w:ascii="Times New Roman" w:hAnsi="Times New Roman" w:eastAsia="宋体" w:cs="Times New Roman"/>
          <w:color w:val="auto"/>
          <w:szCs w:val="28"/>
          <w:lang w:val="en-US" w:eastAsia="zh-CN"/>
        </w:rPr>
        <w:fldChar w:fldCharType="begin"/>
      </w:r>
      <w:r>
        <w:rPr>
          <w:rFonts w:hint="default" w:ascii="Times New Roman" w:hAnsi="Times New Roman" w:eastAsia="宋体" w:cs="Times New Roman"/>
          <w:szCs w:val="28"/>
          <w:lang w:val="en-US" w:eastAsia="zh-CN"/>
        </w:rPr>
        <w:instrText xml:space="preserve"> HYPERLINK \l _Toc16623 </w:instrText>
      </w:r>
      <w:r>
        <w:rPr>
          <w:rFonts w:hint="default" w:ascii="Times New Roman" w:hAnsi="Times New Roman" w:eastAsia="宋体" w:cs="Times New Roman"/>
          <w:szCs w:val="28"/>
          <w:lang w:val="en-US" w:eastAsia="zh-CN"/>
        </w:rPr>
        <w:fldChar w:fldCharType="separate"/>
      </w:r>
      <w:r>
        <w:rPr>
          <w:rFonts w:hint="default" w:ascii="Times New Roman" w:hAnsi="Times New Roman" w:eastAsia="宋体" w:cs="Times New Roman"/>
          <w:bCs/>
          <w:kern w:val="0"/>
          <w:szCs w:val="56"/>
          <w:lang w:val="en-US" w:bidi="ar-SA"/>
        </w:rPr>
        <w:t xml:space="preserve">表3 </w:t>
      </w:r>
      <w:r>
        <w:rPr>
          <w:rFonts w:hint="default" w:ascii="Times New Roman" w:hAnsi="Times New Roman" w:eastAsia="宋体" w:cs="Times New Roman"/>
          <w:bCs/>
          <w:kern w:val="0"/>
          <w:szCs w:val="56"/>
          <w:lang w:val="en-US" w:eastAsia="zh-CN" w:bidi="ar-SA"/>
        </w:rPr>
        <w:t xml:space="preserve"> </w:t>
      </w:r>
      <w:r>
        <w:rPr>
          <w:rFonts w:hint="default" w:ascii="Times New Roman" w:hAnsi="Times New Roman" w:eastAsia="宋体" w:cs="Times New Roman"/>
          <w:bCs/>
          <w:kern w:val="0"/>
          <w:szCs w:val="56"/>
          <w:lang w:val="en-US" w:bidi="ar-SA"/>
        </w:rPr>
        <w:t>验收执行标准</w:t>
      </w:r>
      <w:r>
        <w:tab/>
      </w:r>
      <w:r>
        <w:fldChar w:fldCharType="begin"/>
      </w:r>
      <w:r>
        <w:instrText xml:space="preserve"> PAGEREF _Toc16623 \h </w:instrText>
      </w:r>
      <w:r>
        <w:fldChar w:fldCharType="separate"/>
      </w:r>
      <w:r>
        <w:t>6</w:t>
      </w:r>
      <w:r>
        <w:fldChar w:fldCharType="end"/>
      </w:r>
      <w:r>
        <w:rPr>
          <w:rFonts w:hint="default" w:ascii="Times New Roman" w:hAnsi="Times New Roman" w:eastAsia="宋体" w:cs="Times New Roman"/>
          <w:color w:val="auto"/>
          <w:szCs w:val="28"/>
          <w:lang w:val="en-US" w:eastAsia="zh-CN"/>
        </w:rPr>
        <w:fldChar w:fldCharType="end"/>
      </w:r>
    </w:p>
    <w:p w14:paraId="327FC020">
      <w:pPr>
        <w:pStyle w:val="14"/>
        <w:tabs>
          <w:tab w:val="right" w:leader="dot" w:pos="9189"/>
        </w:tabs>
      </w:pPr>
      <w:r>
        <w:rPr>
          <w:rFonts w:hint="default" w:ascii="Times New Roman" w:hAnsi="Times New Roman" w:eastAsia="宋体" w:cs="Times New Roman"/>
          <w:color w:val="auto"/>
          <w:szCs w:val="28"/>
          <w:lang w:val="en-US" w:eastAsia="zh-CN"/>
        </w:rPr>
        <w:fldChar w:fldCharType="begin"/>
      </w:r>
      <w:r>
        <w:rPr>
          <w:rFonts w:hint="default" w:ascii="Times New Roman" w:hAnsi="Times New Roman" w:eastAsia="宋体" w:cs="Times New Roman"/>
          <w:szCs w:val="28"/>
          <w:lang w:val="en-US" w:eastAsia="zh-CN"/>
        </w:rPr>
        <w:instrText xml:space="preserve"> HYPERLINK \l _Toc20130 </w:instrText>
      </w:r>
      <w:r>
        <w:rPr>
          <w:rFonts w:hint="default" w:ascii="Times New Roman" w:hAnsi="Times New Roman" w:eastAsia="宋体" w:cs="Times New Roman"/>
          <w:szCs w:val="28"/>
          <w:lang w:val="en-US" w:eastAsia="zh-CN"/>
        </w:rPr>
        <w:fldChar w:fldCharType="separate"/>
      </w:r>
      <w:r>
        <w:rPr>
          <w:rFonts w:hint="default" w:ascii="Times New Roman" w:hAnsi="Times New Roman" w:eastAsia="宋体" w:cs="Times New Roman"/>
          <w:bCs/>
          <w:kern w:val="0"/>
          <w:szCs w:val="56"/>
          <w:lang w:val="en-US" w:bidi="ar-SA"/>
        </w:rPr>
        <w:t>表4</w:t>
      </w:r>
      <w:r>
        <w:rPr>
          <w:rFonts w:hint="default" w:ascii="Times New Roman" w:hAnsi="Times New Roman" w:eastAsia="宋体" w:cs="Times New Roman"/>
          <w:bCs/>
          <w:kern w:val="0"/>
          <w:szCs w:val="56"/>
          <w:lang w:val="en-US" w:eastAsia="zh-CN" w:bidi="ar-SA"/>
        </w:rPr>
        <w:t xml:space="preserve">  </w:t>
      </w:r>
      <w:r>
        <w:rPr>
          <w:rFonts w:hint="default" w:ascii="Times New Roman" w:hAnsi="Times New Roman" w:eastAsia="宋体" w:cs="Times New Roman"/>
          <w:bCs/>
          <w:kern w:val="0"/>
          <w:szCs w:val="56"/>
          <w:lang w:val="en-US" w:bidi="ar-SA"/>
        </w:rPr>
        <w:t>工程概况</w:t>
      </w:r>
      <w:r>
        <w:tab/>
      </w:r>
      <w:r>
        <w:fldChar w:fldCharType="begin"/>
      </w:r>
      <w:r>
        <w:instrText xml:space="preserve"> PAGEREF _Toc20130 \h </w:instrText>
      </w:r>
      <w:r>
        <w:fldChar w:fldCharType="separate"/>
      </w:r>
      <w:r>
        <w:t>9</w:t>
      </w:r>
      <w:r>
        <w:fldChar w:fldCharType="end"/>
      </w:r>
      <w:r>
        <w:rPr>
          <w:rFonts w:hint="default" w:ascii="Times New Roman" w:hAnsi="Times New Roman" w:eastAsia="宋体" w:cs="Times New Roman"/>
          <w:color w:val="auto"/>
          <w:szCs w:val="28"/>
          <w:lang w:val="en-US" w:eastAsia="zh-CN"/>
        </w:rPr>
        <w:fldChar w:fldCharType="end"/>
      </w:r>
    </w:p>
    <w:p w14:paraId="09C3A776">
      <w:pPr>
        <w:pStyle w:val="14"/>
        <w:tabs>
          <w:tab w:val="right" w:leader="dot" w:pos="9189"/>
        </w:tabs>
      </w:pPr>
      <w:r>
        <w:rPr>
          <w:rFonts w:hint="default" w:ascii="Times New Roman" w:hAnsi="Times New Roman" w:eastAsia="宋体" w:cs="Times New Roman"/>
          <w:color w:val="auto"/>
          <w:szCs w:val="28"/>
          <w:lang w:val="en-US" w:eastAsia="zh-CN"/>
        </w:rPr>
        <w:fldChar w:fldCharType="begin"/>
      </w:r>
      <w:r>
        <w:rPr>
          <w:rFonts w:hint="default" w:ascii="Times New Roman" w:hAnsi="Times New Roman" w:eastAsia="宋体" w:cs="Times New Roman"/>
          <w:szCs w:val="28"/>
          <w:lang w:val="en-US" w:eastAsia="zh-CN"/>
        </w:rPr>
        <w:instrText xml:space="preserve"> HYPERLINK \l _Toc24646 </w:instrText>
      </w:r>
      <w:r>
        <w:rPr>
          <w:rFonts w:hint="default" w:ascii="Times New Roman" w:hAnsi="Times New Roman" w:eastAsia="宋体" w:cs="Times New Roman"/>
          <w:szCs w:val="28"/>
          <w:lang w:val="en-US" w:eastAsia="zh-CN"/>
        </w:rPr>
        <w:fldChar w:fldCharType="separate"/>
      </w:r>
      <w:r>
        <w:rPr>
          <w:rFonts w:hint="default" w:ascii="Times New Roman" w:hAnsi="Times New Roman" w:eastAsia="宋体" w:cs="Times New Roman"/>
          <w:bCs/>
          <w:kern w:val="0"/>
          <w:szCs w:val="56"/>
          <w:lang w:val="en-US" w:bidi="ar-SA"/>
        </w:rPr>
        <w:t>表5</w:t>
      </w:r>
      <w:r>
        <w:rPr>
          <w:rFonts w:hint="default" w:ascii="Times New Roman" w:hAnsi="Times New Roman" w:eastAsia="宋体" w:cs="Times New Roman"/>
          <w:bCs/>
          <w:kern w:val="0"/>
          <w:szCs w:val="56"/>
          <w:lang w:val="en-US" w:eastAsia="zh-CN" w:bidi="ar-SA"/>
        </w:rPr>
        <w:t xml:space="preserve">  </w:t>
      </w:r>
      <w:r>
        <w:rPr>
          <w:rFonts w:hint="default" w:ascii="Times New Roman" w:hAnsi="Times New Roman" w:eastAsia="宋体" w:cs="Times New Roman"/>
          <w:bCs/>
          <w:kern w:val="0"/>
          <w:szCs w:val="56"/>
          <w:lang w:val="en-US" w:bidi="ar-SA"/>
        </w:rPr>
        <w:t>环境影响报告表回顾</w:t>
      </w:r>
      <w:r>
        <w:tab/>
      </w:r>
      <w:r>
        <w:fldChar w:fldCharType="begin"/>
      </w:r>
      <w:r>
        <w:instrText xml:space="preserve"> PAGEREF _Toc24646 \h </w:instrText>
      </w:r>
      <w:r>
        <w:fldChar w:fldCharType="separate"/>
      </w:r>
      <w:r>
        <w:t>42</w:t>
      </w:r>
      <w:r>
        <w:fldChar w:fldCharType="end"/>
      </w:r>
      <w:r>
        <w:rPr>
          <w:rFonts w:hint="default" w:ascii="Times New Roman" w:hAnsi="Times New Roman" w:eastAsia="宋体" w:cs="Times New Roman"/>
          <w:color w:val="auto"/>
          <w:szCs w:val="28"/>
          <w:lang w:val="en-US" w:eastAsia="zh-CN"/>
        </w:rPr>
        <w:fldChar w:fldCharType="end"/>
      </w:r>
    </w:p>
    <w:p w14:paraId="498C40F3">
      <w:pPr>
        <w:pStyle w:val="14"/>
        <w:tabs>
          <w:tab w:val="right" w:leader="dot" w:pos="9189"/>
        </w:tabs>
      </w:pPr>
      <w:r>
        <w:rPr>
          <w:rFonts w:hint="default" w:ascii="Times New Roman" w:hAnsi="Times New Roman" w:eastAsia="宋体" w:cs="Times New Roman"/>
          <w:color w:val="auto"/>
          <w:szCs w:val="28"/>
          <w:lang w:val="en-US" w:eastAsia="zh-CN"/>
        </w:rPr>
        <w:fldChar w:fldCharType="begin"/>
      </w:r>
      <w:r>
        <w:rPr>
          <w:rFonts w:hint="default" w:ascii="Times New Roman" w:hAnsi="Times New Roman" w:eastAsia="宋体" w:cs="Times New Roman"/>
          <w:szCs w:val="28"/>
          <w:lang w:val="en-US" w:eastAsia="zh-CN"/>
        </w:rPr>
        <w:instrText xml:space="preserve"> HYPERLINK \l _Toc8079 </w:instrText>
      </w:r>
      <w:r>
        <w:rPr>
          <w:rFonts w:hint="default" w:ascii="Times New Roman" w:hAnsi="Times New Roman" w:eastAsia="宋体" w:cs="Times New Roman"/>
          <w:szCs w:val="28"/>
          <w:lang w:val="en-US" w:eastAsia="zh-CN"/>
        </w:rPr>
        <w:fldChar w:fldCharType="separate"/>
      </w:r>
      <w:r>
        <w:rPr>
          <w:rFonts w:hint="default" w:ascii="Times New Roman" w:hAnsi="Times New Roman" w:eastAsia="宋体" w:cs="Times New Roman"/>
          <w:bCs/>
          <w:kern w:val="0"/>
          <w:szCs w:val="56"/>
          <w:lang w:val="en-US" w:bidi="ar-SA"/>
        </w:rPr>
        <w:t>表6</w:t>
      </w:r>
      <w:r>
        <w:rPr>
          <w:rFonts w:hint="default" w:ascii="Times New Roman" w:hAnsi="Times New Roman" w:eastAsia="宋体" w:cs="Times New Roman"/>
          <w:bCs/>
          <w:kern w:val="0"/>
          <w:szCs w:val="56"/>
          <w:lang w:val="en-US" w:eastAsia="zh-CN" w:bidi="ar-SA"/>
        </w:rPr>
        <w:t xml:space="preserve">  </w:t>
      </w:r>
      <w:r>
        <w:rPr>
          <w:rFonts w:hint="default" w:ascii="Times New Roman" w:hAnsi="Times New Roman" w:eastAsia="宋体" w:cs="Times New Roman"/>
          <w:bCs/>
          <w:kern w:val="0"/>
          <w:szCs w:val="56"/>
          <w:lang w:val="en-US" w:bidi="ar-SA"/>
        </w:rPr>
        <w:t>环境保护措施执行情况</w:t>
      </w:r>
      <w:r>
        <w:tab/>
      </w:r>
      <w:r>
        <w:fldChar w:fldCharType="begin"/>
      </w:r>
      <w:r>
        <w:instrText xml:space="preserve"> PAGEREF _Toc8079 \h </w:instrText>
      </w:r>
      <w:r>
        <w:fldChar w:fldCharType="separate"/>
      </w:r>
      <w:r>
        <w:t>46</w:t>
      </w:r>
      <w:r>
        <w:fldChar w:fldCharType="end"/>
      </w:r>
      <w:r>
        <w:rPr>
          <w:rFonts w:hint="default" w:ascii="Times New Roman" w:hAnsi="Times New Roman" w:eastAsia="宋体" w:cs="Times New Roman"/>
          <w:color w:val="auto"/>
          <w:szCs w:val="28"/>
          <w:lang w:val="en-US" w:eastAsia="zh-CN"/>
        </w:rPr>
        <w:fldChar w:fldCharType="end"/>
      </w:r>
    </w:p>
    <w:p w14:paraId="65C7C724">
      <w:pPr>
        <w:pStyle w:val="14"/>
        <w:tabs>
          <w:tab w:val="right" w:leader="dot" w:pos="9189"/>
        </w:tabs>
      </w:pPr>
      <w:r>
        <w:rPr>
          <w:rFonts w:hint="default" w:ascii="Times New Roman" w:hAnsi="Times New Roman" w:eastAsia="宋体" w:cs="Times New Roman"/>
          <w:color w:val="auto"/>
          <w:szCs w:val="28"/>
          <w:lang w:val="en-US" w:eastAsia="zh-CN"/>
        </w:rPr>
        <w:fldChar w:fldCharType="begin"/>
      </w:r>
      <w:r>
        <w:rPr>
          <w:rFonts w:hint="default" w:ascii="Times New Roman" w:hAnsi="Times New Roman" w:eastAsia="宋体" w:cs="Times New Roman"/>
          <w:szCs w:val="28"/>
          <w:lang w:val="en-US" w:eastAsia="zh-CN"/>
        </w:rPr>
        <w:instrText xml:space="preserve"> HYPERLINK \l _Toc22468 </w:instrText>
      </w:r>
      <w:r>
        <w:rPr>
          <w:rFonts w:hint="default" w:ascii="Times New Roman" w:hAnsi="Times New Roman" w:eastAsia="宋体" w:cs="Times New Roman"/>
          <w:szCs w:val="28"/>
          <w:lang w:val="en-US" w:eastAsia="zh-CN"/>
        </w:rPr>
        <w:fldChar w:fldCharType="separate"/>
      </w:r>
      <w:r>
        <w:rPr>
          <w:rFonts w:hint="default" w:ascii="Times New Roman" w:hAnsi="Times New Roman" w:eastAsia="宋体" w:cs="Times New Roman"/>
          <w:bCs/>
          <w:kern w:val="0"/>
          <w:szCs w:val="56"/>
          <w:lang w:val="en-US" w:bidi="ar-SA"/>
        </w:rPr>
        <w:t>表7</w:t>
      </w:r>
      <w:r>
        <w:rPr>
          <w:rFonts w:hint="default" w:ascii="Times New Roman" w:hAnsi="Times New Roman" w:eastAsia="宋体" w:cs="Times New Roman"/>
          <w:bCs/>
          <w:kern w:val="0"/>
          <w:szCs w:val="56"/>
          <w:lang w:val="en-US" w:eastAsia="zh-CN" w:bidi="ar-SA"/>
        </w:rPr>
        <w:t xml:space="preserve"> </w:t>
      </w:r>
      <w:r>
        <w:rPr>
          <w:rFonts w:hint="default" w:ascii="Times New Roman" w:hAnsi="Times New Roman" w:eastAsia="宋体" w:cs="Times New Roman"/>
          <w:bCs/>
          <w:kern w:val="0"/>
          <w:szCs w:val="56"/>
          <w:lang w:val="en-US" w:bidi="ar-SA"/>
        </w:rPr>
        <w:t xml:space="preserve"> 环境影响调查</w:t>
      </w:r>
      <w:r>
        <w:tab/>
      </w:r>
      <w:r>
        <w:fldChar w:fldCharType="begin"/>
      </w:r>
      <w:r>
        <w:instrText xml:space="preserve"> PAGEREF _Toc22468 \h </w:instrText>
      </w:r>
      <w:r>
        <w:fldChar w:fldCharType="separate"/>
      </w:r>
      <w:r>
        <w:t>49</w:t>
      </w:r>
      <w:r>
        <w:fldChar w:fldCharType="end"/>
      </w:r>
      <w:r>
        <w:rPr>
          <w:rFonts w:hint="default" w:ascii="Times New Roman" w:hAnsi="Times New Roman" w:eastAsia="宋体" w:cs="Times New Roman"/>
          <w:color w:val="auto"/>
          <w:szCs w:val="28"/>
          <w:lang w:val="en-US" w:eastAsia="zh-CN"/>
        </w:rPr>
        <w:fldChar w:fldCharType="end"/>
      </w:r>
    </w:p>
    <w:p w14:paraId="01452CCA">
      <w:pPr>
        <w:pStyle w:val="14"/>
        <w:tabs>
          <w:tab w:val="right" w:leader="dot" w:pos="9189"/>
        </w:tabs>
      </w:pPr>
      <w:r>
        <w:rPr>
          <w:rFonts w:hint="default" w:ascii="Times New Roman" w:hAnsi="Times New Roman" w:eastAsia="宋体" w:cs="Times New Roman"/>
          <w:color w:val="auto"/>
          <w:szCs w:val="28"/>
          <w:lang w:val="en-US" w:eastAsia="zh-CN"/>
        </w:rPr>
        <w:fldChar w:fldCharType="begin"/>
      </w:r>
      <w:r>
        <w:rPr>
          <w:rFonts w:hint="default" w:ascii="Times New Roman" w:hAnsi="Times New Roman" w:eastAsia="宋体" w:cs="Times New Roman"/>
          <w:szCs w:val="28"/>
          <w:lang w:val="en-US" w:eastAsia="zh-CN"/>
        </w:rPr>
        <w:instrText xml:space="preserve"> HYPERLINK \l _Toc5346 </w:instrText>
      </w:r>
      <w:r>
        <w:rPr>
          <w:rFonts w:hint="default" w:ascii="Times New Roman" w:hAnsi="Times New Roman" w:eastAsia="宋体" w:cs="Times New Roman"/>
          <w:szCs w:val="28"/>
          <w:lang w:val="en-US" w:eastAsia="zh-CN"/>
        </w:rPr>
        <w:fldChar w:fldCharType="separate"/>
      </w:r>
      <w:r>
        <w:rPr>
          <w:rFonts w:hint="default" w:ascii="Times New Roman" w:hAnsi="Times New Roman" w:eastAsia="宋体" w:cs="Times New Roman"/>
          <w:bCs/>
          <w:kern w:val="0"/>
          <w:szCs w:val="56"/>
          <w:lang w:val="en-US" w:bidi="ar-SA"/>
        </w:rPr>
        <w:t>表8</w:t>
      </w:r>
      <w:r>
        <w:rPr>
          <w:rFonts w:hint="default" w:ascii="Times New Roman" w:hAnsi="Times New Roman" w:eastAsia="宋体" w:cs="Times New Roman"/>
          <w:bCs/>
          <w:kern w:val="0"/>
          <w:szCs w:val="56"/>
          <w:lang w:val="en-US" w:eastAsia="zh-CN" w:bidi="ar-SA"/>
        </w:rPr>
        <w:t xml:space="preserve">  </w:t>
      </w:r>
      <w:r>
        <w:rPr>
          <w:rFonts w:hint="default" w:ascii="Times New Roman" w:hAnsi="Times New Roman" w:eastAsia="宋体" w:cs="Times New Roman"/>
          <w:bCs/>
          <w:kern w:val="0"/>
          <w:szCs w:val="56"/>
          <w:lang w:val="en-US" w:bidi="ar-SA"/>
        </w:rPr>
        <w:t>环境质量及污染源监测</w:t>
      </w:r>
      <w:r>
        <w:tab/>
      </w:r>
      <w:r>
        <w:fldChar w:fldCharType="begin"/>
      </w:r>
      <w:r>
        <w:instrText xml:space="preserve"> PAGEREF _Toc5346 \h </w:instrText>
      </w:r>
      <w:r>
        <w:fldChar w:fldCharType="separate"/>
      </w:r>
      <w:r>
        <w:t>54</w:t>
      </w:r>
      <w:r>
        <w:fldChar w:fldCharType="end"/>
      </w:r>
      <w:r>
        <w:rPr>
          <w:rFonts w:hint="default" w:ascii="Times New Roman" w:hAnsi="Times New Roman" w:eastAsia="宋体" w:cs="Times New Roman"/>
          <w:color w:val="auto"/>
          <w:szCs w:val="28"/>
          <w:lang w:val="en-US" w:eastAsia="zh-CN"/>
        </w:rPr>
        <w:fldChar w:fldCharType="end"/>
      </w:r>
    </w:p>
    <w:p w14:paraId="6F7D184E">
      <w:pPr>
        <w:pStyle w:val="14"/>
        <w:tabs>
          <w:tab w:val="right" w:leader="dot" w:pos="9189"/>
        </w:tabs>
      </w:pPr>
      <w:r>
        <w:rPr>
          <w:rFonts w:hint="default" w:ascii="Times New Roman" w:hAnsi="Times New Roman" w:eastAsia="宋体" w:cs="Times New Roman"/>
          <w:color w:val="auto"/>
          <w:szCs w:val="28"/>
          <w:lang w:val="en-US" w:eastAsia="zh-CN"/>
        </w:rPr>
        <w:fldChar w:fldCharType="begin"/>
      </w:r>
      <w:r>
        <w:rPr>
          <w:rFonts w:hint="default" w:ascii="Times New Roman" w:hAnsi="Times New Roman" w:eastAsia="宋体" w:cs="Times New Roman"/>
          <w:szCs w:val="28"/>
          <w:lang w:val="en-US" w:eastAsia="zh-CN"/>
        </w:rPr>
        <w:instrText xml:space="preserve"> HYPERLINK \l _Toc5252 </w:instrText>
      </w:r>
      <w:r>
        <w:rPr>
          <w:rFonts w:hint="default" w:ascii="Times New Roman" w:hAnsi="Times New Roman" w:eastAsia="宋体" w:cs="Times New Roman"/>
          <w:szCs w:val="28"/>
          <w:lang w:val="en-US" w:eastAsia="zh-CN"/>
        </w:rPr>
        <w:fldChar w:fldCharType="separate"/>
      </w:r>
      <w:r>
        <w:rPr>
          <w:rFonts w:hint="default" w:ascii="Times New Roman" w:hAnsi="Times New Roman" w:eastAsia="宋体" w:cs="Times New Roman"/>
          <w:bCs/>
          <w:kern w:val="0"/>
          <w:szCs w:val="56"/>
          <w:lang w:val="en-US" w:bidi="ar-SA"/>
        </w:rPr>
        <w:t xml:space="preserve">表9 </w:t>
      </w:r>
      <w:r>
        <w:rPr>
          <w:rFonts w:hint="default" w:ascii="Times New Roman" w:hAnsi="Times New Roman" w:eastAsia="宋体" w:cs="Times New Roman"/>
          <w:bCs/>
          <w:kern w:val="0"/>
          <w:szCs w:val="56"/>
          <w:lang w:val="en-US" w:eastAsia="zh-CN" w:bidi="ar-SA"/>
        </w:rPr>
        <w:t xml:space="preserve"> </w:t>
      </w:r>
      <w:r>
        <w:rPr>
          <w:rFonts w:hint="default" w:ascii="Times New Roman" w:hAnsi="Times New Roman" w:eastAsia="宋体" w:cs="Times New Roman"/>
          <w:bCs/>
          <w:kern w:val="0"/>
          <w:szCs w:val="56"/>
          <w:lang w:val="en-US" w:bidi="ar-SA"/>
        </w:rPr>
        <w:t>环境管理状况及监测计划</w:t>
      </w:r>
      <w:r>
        <w:tab/>
      </w:r>
      <w:r>
        <w:fldChar w:fldCharType="begin"/>
      </w:r>
      <w:r>
        <w:instrText xml:space="preserve"> PAGEREF _Toc5252 \h </w:instrText>
      </w:r>
      <w:r>
        <w:fldChar w:fldCharType="separate"/>
      </w:r>
      <w:r>
        <w:t>57</w:t>
      </w:r>
      <w:r>
        <w:fldChar w:fldCharType="end"/>
      </w:r>
      <w:r>
        <w:rPr>
          <w:rFonts w:hint="default" w:ascii="Times New Roman" w:hAnsi="Times New Roman" w:eastAsia="宋体" w:cs="Times New Roman"/>
          <w:color w:val="auto"/>
          <w:szCs w:val="28"/>
          <w:lang w:val="en-US" w:eastAsia="zh-CN"/>
        </w:rPr>
        <w:fldChar w:fldCharType="end"/>
      </w:r>
    </w:p>
    <w:p w14:paraId="78961F0E">
      <w:pPr>
        <w:pStyle w:val="14"/>
        <w:tabs>
          <w:tab w:val="right" w:leader="dot" w:pos="9189"/>
        </w:tabs>
      </w:pPr>
      <w:r>
        <w:rPr>
          <w:rFonts w:hint="default" w:ascii="Times New Roman" w:hAnsi="Times New Roman" w:eastAsia="宋体" w:cs="Times New Roman"/>
          <w:color w:val="auto"/>
          <w:szCs w:val="28"/>
          <w:lang w:val="en-US" w:eastAsia="zh-CN"/>
        </w:rPr>
        <w:fldChar w:fldCharType="begin"/>
      </w:r>
      <w:r>
        <w:rPr>
          <w:rFonts w:hint="default" w:ascii="Times New Roman" w:hAnsi="Times New Roman" w:eastAsia="宋体" w:cs="Times New Roman"/>
          <w:szCs w:val="28"/>
          <w:lang w:val="en-US" w:eastAsia="zh-CN"/>
        </w:rPr>
        <w:instrText xml:space="preserve"> HYPERLINK \l _Toc30750 </w:instrText>
      </w:r>
      <w:r>
        <w:rPr>
          <w:rFonts w:hint="default" w:ascii="Times New Roman" w:hAnsi="Times New Roman" w:eastAsia="宋体" w:cs="Times New Roman"/>
          <w:szCs w:val="28"/>
          <w:lang w:val="en-US" w:eastAsia="zh-CN"/>
        </w:rPr>
        <w:fldChar w:fldCharType="separate"/>
      </w:r>
      <w:r>
        <w:rPr>
          <w:rFonts w:hint="default" w:ascii="Times New Roman" w:hAnsi="Times New Roman" w:eastAsia="宋体" w:cs="Times New Roman"/>
          <w:bCs/>
          <w:kern w:val="0"/>
          <w:szCs w:val="56"/>
          <w:lang w:val="en-US" w:bidi="ar-SA"/>
        </w:rPr>
        <w:t xml:space="preserve">表10 </w:t>
      </w:r>
      <w:r>
        <w:rPr>
          <w:rFonts w:hint="default" w:ascii="Times New Roman" w:hAnsi="Times New Roman" w:eastAsia="宋体" w:cs="Times New Roman"/>
          <w:bCs/>
          <w:kern w:val="0"/>
          <w:szCs w:val="56"/>
          <w:lang w:val="en-US" w:eastAsia="zh-CN" w:bidi="ar-SA"/>
        </w:rPr>
        <w:t xml:space="preserve"> </w:t>
      </w:r>
      <w:r>
        <w:rPr>
          <w:rFonts w:hint="default" w:ascii="Times New Roman" w:hAnsi="Times New Roman" w:eastAsia="宋体" w:cs="Times New Roman"/>
          <w:bCs/>
          <w:kern w:val="0"/>
          <w:szCs w:val="56"/>
          <w:lang w:val="en-US" w:bidi="ar-SA"/>
        </w:rPr>
        <w:t>调查结论与建议</w:t>
      </w:r>
      <w:r>
        <w:tab/>
      </w:r>
      <w:r>
        <w:fldChar w:fldCharType="begin"/>
      </w:r>
      <w:r>
        <w:instrText xml:space="preserve"> PAGEREF _Toc30750 \h </w:instrText>
      </w:r>
      <w:r>
        <w:fldChar w:fldCharType="separate"/>
      </w:r>
      <w:r>
        <w:t>58</w:t>
      </w:r>
      <w:r>
        <w:fldChar w:fldCharType="end"/>
      </w:r>
      <w:r>
        <w:rPr>
          <w:rFonts w:hint="default" w:ascii="Times New Roman" w:hAnsi="Times New Roman" w:eastAsia="宋体" w:cs="Times New Roman"/>
          <w:color w:val="auto"/>
          <w:szCs w:val="28"/>
          <w:lang w:val="en-US" w:eastAsia="zh-CN"/>
        </w:rPr>
        <w:fldChar w:fldCharType="end"/>
      </w:r>
    </w:p>
    <w:p w14:paraId="478A5173">
      <w:pPr>
        <w:pStyle w:val="14"/>
        <w:tabs>
          <w:tab w:val="right" w:leader="dot" w:pos="9189"/>
        </w:tabs>
      </w:pPr>
      <w:r>
        <w:rPr>
          <w:rFonts w:hint="default" w:ascii="Times New Roman" w:hAnsi="Times New Roman" w:eastAsia="宋体" w:cs="Times New Roman"/>
          <w:color w:val="auto"/>
          <w:szCs w:val="28"/>
          <w:lang w:val="en-US" w:eastAsia="zh-CN"/>
        </w:rPr>
        <w:fldChar w:fldCharType="begin"/>
      </w:r>
      <w:r>
        <w:rPr>
          <w:rFonts w:hint="default" w:ascii="Times New Roman" w:hAnsi="Times New Roman" w:eastAsia="宋体" w:cs="Times New Roman"/>
          <w:szCs w:val="28"/>
          <w:lang w:val="en-US" w:eastAsia="zh-CN"/>
        </w:rPr>
        <w:instrText xml:space="preserve"> HYPERLINK \l _Toc20354 </w:instrText>
      </w:r>
      <w:r>
        <w:rPr>
          <w:rFonts w:hint="default" w:ascii="Times New Roman" w:hAnsi="Times New Roman" w:eastAsia="宋体" w:cs="Times New Roman"/>
          <w:szCs w:val="28"/>
          <w:lang w:val="en-US" w:eastAsia="zh-CN"/>
        </w:rPr>
        <w:fldChar w:fldCharType="separate"/>
      </w:r>
      <w:r>
        <w:rPr>
          <w:rFonts w:hint="default" w:ascii="Times New Roman" w:hAnsi="Times New Roman" w:cs="Times New Roman"/>
          <w:bCs/>
          <w:szCs w:val="32"/>
        </w:rPr>
        <w:t>建设项目竣工环境保护</w:t>
      </w:r>
      <w:r>
        <w:rPr>
          <w:rFonts w:hint="default" w:ascii="Times New Roman" w:hAnsi="Times New Roman" w:cs="Times New Roman"/>
          <w:bCs/>
          <w:szCs w:val="32"/>
          <w:lang w:eastAsia="zh-CN"/>
        </w:rPr>
        <w:t>“</w:t>
      </w:r>
      <w:r>
        <w:rPr>
          <w:rFonts w:hint="default" w:ascii="Times New Roman" w:hAnsi="Times New Roman" w:cs="Times New Roman"/>
          <w:bCs/>
          <w:szCs w:val="32"/>
        </w:rPr>
        <w:t>三同时”验收登记表</w:t>
      </w:r>
      <w:r>
        <w:tab/>
      </w:r>
      <w:r>
        <w:fldChar w:fldCharType="begin"/>
      </w:r>
      <w:r>
        <w:instrText xml:space="preserve"> PAGEREF _Toc20354 \h </w:instrText>
      </w:r>
      <w:r>
        <w:fldChar w:fldCharType="separate"/>
      </w:r>
      <w:r>
        <w:t>61</w:t>
      </w:r>
      <w:r>
        <w:fldChar w:fldCharType="end"/>
      </w:r>
      <w:r>
        <w:rPr>
          <w:rFonts w:hint="default" w:ascii="Times New Roman" w:hAnsi="Times New Roman" w:eastAsia="宋体" w:cs="Times New Roman"/>
          <w:color w:val="auto"/>
          <w:szCs w:val="28"/>
          <w:lang w:val="en-US" w:eastAsia="zh-CN"/>
        </w:rPr>
        <w:fldChar w:fldCharType="end"/>
      </w:r>
    </w:p>
    <w:p w14:paraId="2FA3FF19">
      <w:pPr>
        <w:spacing w:line="360" w:lineRule="auto"/>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fldChar w:fldCharType="end"/>
      </w:r>
    </w:p>
    <w:p w14:paraId="2F6E6CF7">
      <w:pPr>
        <w:spacing w:line="360" w:lineRule="auto"/>
        <w:rPr>
          <w:rFonts w:hint="default" w:ascii="Times New Roman" w:hAnsi="Times New Roman" w:eastAsia="宋体" w:cs="Times New Roman"/>
          <w:color w:val="auto"/>
          <w:szCs w:val="28"/>
          <w:lang w:val="en-US" w:eastAsia="zh-CN"/>
        </w:rPr>
      </w:pPr>
    </w:p>
    <w:p w14:paraId="76014B0F">
      <w:pPr>
        <w:spacing w:line="360" w:lineRule="auto"/>
        <w:rPr>
          <w:rFonts w:hint="default" w:ascii="Times New Roman" w:hAnsi="Times New Roman" w:eastAsia="宋体" w:cs="Times New Roman"/>
          <w:color w:val="FF0000"/>
          <w:sz w:val="28"/>
          <w:szCs w:val="28"/>
          <w:lang w:val="en-US" w:eastAsia="zh-CN"/>
        </w:rPr>
      </w:pPr>
    </w:p>
    <w:p w14:paraId="259F7698">
      <w:pPr>
        <w:spacing w:line="360" w:lineRule="auto"/>
        <w:rPr>
          <w:rFonts w:hint="default" w:ascii="Times New Roman" w:hAnsi="Times New Roman" w:eastAsia="宋体" w:cs="Times New Roman"/>
          <w:color w:val="FF0000"/>
          <w:sz w:val="28"/>
          <w:szCs w:val="28"/>
          <w:lang w:val="en-US" w:eastAsia="zh-CN"/>
        </w:rPr>
      </w:pPr>
    </w:p>
    <w:p w14:paraId="6864B985">
      <w:pPr>
        <w:spacing w:line="360" w:lineRule="auto"/>
        <w:rPr>
          <w:rFonts w:hint="default" w:ascii="Times New Roman" w:hAnsi="Times New Roman" w:eastAsia="宋体" w:cs="Times New Roman"/>
          <w:color w:val="FF0000"/>
          <w:sz w:val="28"/>
          <w:szCs w:val="28"/>
          <w:lang w:val="en-US" w:eastAsia="zh-CN"/>
        </w:rPr>
      </w:pPr>
    </w:p>
    <w:p w14:paraId="621DD3E9">
      <w:pPr>
        <w:spacing w:line="360" w:lineRule="auto"/>
        <w:rPr>
          <w:rFonts w:hint="default" w:ascii="Times New Roman" w:hAnsi="Times New Roman" w:eastAsia="宋体" w:cs="Times New Roman"/>
          <w:color w:val="FF0000"/>
          <w:sz w:val="28"/>
          <w:szCs w:val="28"/>
          <w:lang w:val="en-US" w:eastAsia="zh-CN"/>
        </w:rPr>
      </w:pPr>
    </w:p>
    <w:p w14:paraId="72A6987A">
      <w:pPr>
        <w:spacing w:line="360" w:lineRule="auto"/>
        <w:rPr>
          <w:rFonts w:hint="default" w:ascii="Times New Roman" w:hAnsi="Times New Roman" w:eastAsia="宋体" w:cs="Times New Roman"/>
          <w:color w:val="FF0000"/>
          <w:sz w:val="28"/>
          <w:szCs w:val="28"/>
          <w:lang w:val="en-US" w:eastAsia="zh-CN"/>
        </w:rPr>
      </w:pPr>
    </w:p>
    <w:p w14:paraId="70E4B2F7">
      <w:pPr>
        <w:spacing w:line="360" w:lineRule="auto"/>
        <w:rPr>
          <w:rFonts w:hint="default" w:ascii="Times New Roman" w:hAnsi="Times New Roman" w:eastAsia="宋体" w:cs="Times New Roman"/>
          <w:color w:val="FF0000"/>
          <w:sz w:val="28"/>
          <w:szCs w:val="28"/>
          <w:lang w:val="en-US" w:eastAsia="zh-CN"/>
        </w:rPr>
      </w:pPr>
    </w:p>
    <w:p w14:paraId="4857E24C">
      <w:pPr>
        <w:spacing w:line="360" w:lineRule="auto"/>
        <w:rPr>
          <w:rFonts w:hint="default" w:ascii="Times New Roman" w:hAnsi="Times New Roman" w:eastAsia="宋体" w:cs="Times New Roman"/>
          <w:color w:val="FF0000"/>
          <w:sz w:val="28"/>
          <w:szCs w:val="28"/>
          <w:lang w:val="en-US" w:eastAsia="zh-CN"/>
        </w:rPr>
      </w:pPr>
    </w:p>
    <w:p w14:paraId="1B65C2BF">
      <w:pPr>
        <w:spacing w:line="360" w:lineRule="auto"/>
        <w:rPr>
          <w:rFonts w:hint="default" w:ascii="Times New Roman" w:hAnsi="Times New Roman" w:eastAsia="宋体" w:cs="Times New Roman"/>
          <w:color w:val="FF0000"/>
          <w:sz w:val="28"/>
          <w:szCs w:val="28"/>
          <w:lang w:val="en-US" w:eastAsia="zh-CN"/>
        </w:rPr>
      </w:pPr>
    </w:p>
    <w:p w14:paraId="519C1297">
      <w:pPr>
        <w:spacing w:line="360" w:lineRule="auto"/>
        <w:rPr>
          <w:rFonts w:hint="default" w:ascii="Times New Roman" w:hAnsi="Times New Roman" w:eastAsia="宋体" w:cs="Times New Roman"/>
          <w:color w:val="FF0000"/>
          <w:sz w:val="28"/>
          <w:szCs w:val="28"/>
          <w:lang w:val="en-US" w:eastAsia="zh-CN"/>
        </w:rPr>
      </w:pPr>
    </w:p>
    <w:p w14:paraId="11948DCA">
      <w:pPr>
        <w:spacing w:line="360" w:lineRule="auto"/>
        <w:rPr>
          <w:rFonts w:hint="default" w:ascii="Times New Roman" w:hAnsi="Times New Roman" w:eastAsia="宋体" w:cs="Times New Roman"/>
          <w:color w:val="FF0000"/>
          <w:sz w:val="28"/>
          <w:szCs w:val="28"/>
          <w:lang w:val="en-US" w:eastAsia="zh-CN"/>
        </w:rPr>
      </w:pPr>
    </w:p>
    <w:p w14:paraId="04424A0C">
      <w:pPr>
        <w:spacing w:line="360" w:lineRule="auto"/>
        <w:rPr>
          <w:rFonts w:hint="default" w:ascii="Times New Roman" w:hAnsi="Times New Roman" w:eastAsia="宋体" w:cs="Times New Roman"/>
          <w:color w:val="FF0000"/>
          <w:sz w:val="28"/>
          <w:szCs w:val="28"/>
          <w:lang w:val="en-US" w:eastAsia="zh-CN"/>
        </w:rPr>
      </w:pPr>
    </w:p>
    <w:p w14:paraId="3EFEAF55">
      <w:pPr>
        <w:spacing w:line="360" w:lineRule="auto"/>
        <w:rPr>
          <w:rFonts w:hint="default" w:ascii="Times New Roman" w:hAnsi="Times New Roman" w:eastAsia="宋体" w:cs="Times New Roman"/>
          <w:color w:val="FF0000"/>
          <w:sz w:val="28"/>
          <w:szCs w:val="28"/>
          <w:lang w:val="en-US" w:eastAsia="zh-CN"/>
        </w:rPr>
      </w:pPr>
    </w:p>
    <w:p w14:paraId="2B3F5DAF">
      <w:pPr>
        <w:spacing w:line="360" w:lineRule="auto"/>
        <w:rPr>
          <w:rFonts w:hint="default" w:ascii="Times New Roman" w:hAnsi="Times New Roman" w:eastAsia="宋体" w:cs="Times New Roman"/>
          <w:color w:val="FF0000"/>
          <w:sz w:val="28"/>
          <w:szCs w:val="28"/>
          <w:lang w:val="en-US" w:eastAsia="zh-CN"/>
        </w:rPr>
      </w:pPr>
    </w:p>
    <w:p w14:paraId="29EA584D">
      <w:pPr>
        <w:spacing w:line="360" w:lineRule="auto"/>
        <w:rPr>
          <w:rFonts w:hint="default" w:ascii="Times New Roman" w:hAnsi="Times New Roman" w:eastAsia="宋体" w:cs="Times New Roman"/>
          <w:color w:val="FF0000"/>
          <w:sz w:val="28"/>
          <w:szCs w:val="28"/>
          <w:lang w:val="en-US" w:eastAsia="zh-CN"/>
        </w:rPr>
      </w:pPr>
    </w:p>
    <w:p w14:paraId="165CC683">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附图：</w:t>
      </w:r>
    </w:p>
    <w:p w14:paraId="477A1D8E">
      <w:pPr>
        <w:spacing w:line="360" w:lineRule="auto"/>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bCs/>
          <w:color w:val="auto"/>
          <w:sz w:val="24"/>
          <w:szCs w:val="24"/>
          <w:lang w:val="en-US" w:eastAsia="zh-CN"/>
        </w:rPr>
        <w:t>附图1  项目地理位置图</w:t>
      </w:r>
    </w:p>
    <w:p w14:paraId="59C72EFA">
      <w:pPr>
        <w:spacing w:line="360" w:lineRule="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附图2  项目周围环境关系图（敏感目标）</w:t>
      </w:r>
    </w:p>
    <w:p w14:paraId="1607324C">
      <w:pPr>
        <w:spacing w:line="360" w:lineRule="auto"/>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bCs/>
          <w:color w:val="auto"/>
          <w:sz w:val="24"/>
          <w:szCs w:val="24"/>
          <w:lang w:val="en-US" w:eastAsia="zh-CN"/>
        </w:rPr>
        <w:t>附图3  项目周边环境关系图（矿区分布）</w:t>
      </w:r>
    </w:p>
    <w:p w14:paraId="5A7BDB7D">
      <w:pPr>
        <w:spacing w:line="360" w:lineRule="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附图4  项目监测点位图</w:t>
      </w:r>
    </w:p>
    <w:p w14:paraId="1CB08CB5">
      <w:pPr>
        <w:spacing w:line="360" w:lineRule="auto"/>
        <w:rPr>
          <w:rFonts w:hint="eastAsia"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附图</w:t>
      </w:r>
      <w:r>
        <w:rPr>
          <w:rFonts w:hint="eastAsia" w:ascii="Times New Roman" w:hAnsi="Times New Roman" w:eastAsia="宋体" w:cs="Times New Roman"/>
          <w:bCs/>
          <w:color w:val="auto"/>
          <w:sz w:val="24"/>
          <w:szCs w:val="24"/>
          <w:lang w:val="en-US" w:eastAsia="zh-CN"/>
        </w:rPr>
        <w:t>5</w:t>
      </w:r>
      <w:r>
        <w:rPr>
          <w:rFonts w:hint="default" w:ascii="Times New Roman" w:hAnsi="Times New Roman" w:eastAsia="宋体" w:cs="Times New Roman"/>
          <w:bCs/>
          <w:color w:val="auto"/>
          <w:sz w:val="24"/>
          <w:szCs w:val="24"/>
          <w:lang w:val="en-US" w:eastAsia="zh-CN"/>
        </w:rPr>
        <w:t xml:space="preserve">  </w:t>
      </w:r>
      <w:r>
        <w:rPr>
          <w:rFonts w:hint="eastAsia" w:ascii="Times New Roman" w:hAnsi="Times New Roman" w:eastAsia="宋体" w:cs="Times New Roman"/>
          <w:bCs/>
          <w:color w:val="auto"/>
          <w:sz w:val="24"/>
          <w:szCs w:val="24"/>
          <w:lang w:val="en-US" w:eastAsia="zh-CN"/>
        </w:rPr>
        <w:t>项目雨污防治设施位置图</w:t>
      </w:r>
    </w:p>
    <w:p w14:paraId="07A400AB">
      <w:pPr>
        <w:spacing w:line="360" w:lineRule="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附图5-1 项目矿区雨污治理设施分布图（4号元昌流域-显套湾及大湾片区）</w:t>
      </w:r>
    </w:p>
    <w:p w14:paraId="1505E952">
      <w:pPr>
        <w:spacing w:line="360" w:lineRule="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附图5-2 项目矿区雨污治理设施分布图（5号元昌流域-嘉丰及华东片区）</w:t>
      </w:r>
    </w:p>
    <w:p w14:paraId="36CE239C">
      <w:pPr>
        <w:spacing w:line="360" w:lineRule="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附图5-3 项目矿区雨污治理设施分布图（5号元昌流域-嘉丰及华东片区）</w:t>
      </w:r>
    </w:p>
    <w:p w14:paraId="2628DBD3">
      <w:pPr>
        <w:spacing w:line="360" w:lineRule="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附图5-4 项目矿区雨污治理设施分布图（5号元昌流域-嘉丰及华东片区）</w:t>
      </w:r>
    </w:p>
    <w:p w14:paraId="2FC6CDD4">
      <w:pPr>
        <w:spacing w:line="360" w:lineRule="auto"/>
        <w:rPr>
          <w:rFonts w:hint="eastAsia"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附图</w:t>
      </w:r>
      <w:r>
        <w:rPr>
          <w:rFonts w:hint="eastAsia" w:ascii="Times New Roman" w:hAnsi="Times New Roman" w:eastAsia="宋体" w:cs="Times New Roman"/>
          <w:bCs/>
          <w:color w:val="auto"/>
          <w:sz w:val="24"/>
          <w:szCs w:val="24"/>
          <w:lang w:val="en-US" w:eastAsia="zh-CN"/>
        </w:rPr>
        <w:t>5-5</w:t>
      </w:r>
      <w:r>
        <w:rPr>
          <w:rFonts w:hint="default" w:ascii="Times New Roman" w:hAnsi="Times New Roman" w:eastAsia="宋体" w:cs="Times New Roman"/>
          <w:bCs/>
          <w:color w:val="auto"/>
          <w:sz w:val="24"/>
          <w:szCs w:val="24"/>
          <w:lang w:val="en-US" w:eastAsia="zh-CN"/>
        </w:rPr>
        <w:t xml:space="preserve"> </w:t>
      </w:r>
      <w:r>
        <w:rPr>
          <w:rFonts w:hint="eastAsia" w:ascii="Times New Roman" w:hAnsi="Times New Roman" w:eastAsia="宋体" w:cs="Times New Roman"/>
          <w:bCs/>
          <w:color w:val="auto"/>
          <w:sz w:val="24"/>
          <w:szCs w:val="24"/>
          <w:lang w:val="en-US" w:eastAsia="zh-CN"/>
        </w:rPr>
        <w:t>项目区域污染防治设施平面布局</w:t>
      </w:r>
      <w:r>
        <w:rPr>
          <w:rFonts w:hint="default" w:ascii="Times New Roman" w:hAnsi="Times New Roman" w:eastAsia="宋体" w:cs="Times New Roman"/>
          <w:bCs/>
          <w:color w:val="auto"/>
          <w:sz w:val="24"/>
          <w:szCs w:val="24"/>
          <w:lang w:val="en-US" w:eastAsia="zh-CN"/>
        </w:rPr>
        <w:t>图</w:t>
      </w:r>
    </w:p>
    <w:p w14:paraId="0A34B2EF">
      <w:pPr>
        <w:spacing w:line="360" w:lineRule="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附图6  项目卫生防护距离包络线图</w:t>
      </w:r>
    </w:p>
    <w:p w14:paraId="7107A069">
      <w:pPr>
        <w:spacing w:line="360" w:lineRule="auto"/>
        <w:rPr>
          <w:rFonts w:hint="default" w:ascii="Times New Roman" w:hAnsi="Times New Roman" w:eastAsia="宋体" w:cs="Times New Roman"/>
          <w:bCs/>
          <w:color w:val="0000FF"/>
          <w:sz w:val="24"/>
          <w:szCs w:val="24"/>
          <w:lang w:val="en-US" w:eastAsia="zh-CN"/>
        </w:rPr>
      </w:pPr>
    </w:p>
    <w:p w14:paraId="2E4519AC">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附件：</w:t>
      </w:r>
    </w:p>
    <w:p w14:paraId="7348137A">
      <w:pPr>
        <w:spacing w:line="360" w:lineRule="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附件1  环评批复</w:t>
      </w:r>
    </w:p>
    <w:p w14:paraId="21D2258E">
      <w:pPr>
        <w:spacing w:line="360" w:lineRule="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附件2  采矿许可证</w:t>
      </w:r>
    </w:p>
    <w:p w14:paraId="768FCBEB">
      <w:pPr>
        <w:spacing w:line="360" w:lineRule="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附件3  矿产资源开发利用与生态复绿方案</w:t>
      </w:r>
    </w:p>
    <w:p w14:paraId="760BDC9D">
      <w:pPr>
        <w:spacing w:line="360" w:lineRule="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 xml:space="preserve">附件4  </w:t>
      </w:r>
      <w:r>
        <w:rPr>
          <w:rFonts w:hint="eastAsia" w:ascii="Times New Roman" w:hAnsi="Times New Roman" w:eastAsia="宋体" w:cs="Times New Roman"/>
          <w:bCs/>
          <w:color w:val="auto"/>
          <w:sz w:val="24"/>
          <w:szCs w:val="24"/>
          <w:lang w:val="en-US" w:eastAsia="zh-CN"/>
        </w:rPr>
        <w:t>矿产资源开发利用与生态复绿方案</w:t>
      </w:r>
    </w:p>
    <w:p w14:paraId="70FCC421">
      <w:pPr>
        <w:spacing w:line="360" w:lineRule="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 xml:space="preserve">附件5  </w:t>
      </w:r>
      <w:r>
        <w:rPr>
          <w:rFonts w:hint="eastAsia" w:ascii="Times New Roman" w:hAnsi="Times New Roman" w:eastAsia="宋体" w:cs="Times New Roman"/>
          <w:bCs/>
          <w:color w:val="auto"/>
          <w:sz w:val="24"/>
          <w:szCs w:val="24"/>
          <w:lang w:val="en-US" w:eastAsia="zh-CN"/>
        </w:rPr>
        <w:t>项目是否涉及生态保护红线、基本农田的查询单</w:t>
      </w:r>
    </w:p>
    <w:p w14:paraId="083A7157">
      <w:pPr>
        <w:spacing w:line="360" w:lineRule="auto"/>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 xml:space="preserve">附件6  </w:t>
      </w:r>
      <w:r>
        <w:rPr>
          <w:rFonts w:hint="default" w:ascii="Times New Roman" w:hAnsi="Times New Roman" w:eastAsia="宋体" w:cs="Times New Roman"/>
          <w:bCs/>
          <w:color w:val="auto"/>
          <w:sz w:val="24"/>
          <w:szCs w:val="24"/>
          <w:lang w:val="en-US" w:eastAsia="zh-CN"/>
        </w:rPr>
        <w:t>固废处置协议</w:t>
      </w:r>
    </w:p>
    <w:p w14:paraId="407BADC8">
      <w:pPr>
        <w:spacing w:line="360" w:lineRule="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附件</w:t>
      </w:r>
      <w:r>
        <w:rPr>
          <w:rFonts w:hint="eastAsia" w:cs="Times New Roman"/>
          <w:bCs/>
          <w:color w:val="auto"/>
          <w:sz w:val="24"/>
          <w:szCs w:val="24"/>
          <w:lang w:val="en-US" w:eastAsia="zh-CN"/>
        </w:rPr>
        <w:t>7</w:t>
      </w:r>
      <w:r>
        <w:rPr>
          <w:rFonts w:hint="default" w:ascii="Times New Roman" w:hAnsi="Times New Roman" w:eastAsia="宋体" w:cs="Times New Roman"/>
          <w:bCs/>
          <w:color w:val="auto"/>
          <w:sz w:val="24"/>
          <w:szCs w:val="24"/>
          <w:lang w:val="en-US" w:eastAsia="zh-CN"/>
        </w:rPr>
        <w:t xml:space="preserve">  排污许可登记回执</w:t>
      </w:r>
    </w:p>
    <w:p w14:paraId="27CE68A8">
      <w:pPr>
        <w:spacing w:line="360" w:lineRule="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附件</w:t>
      </w:r>
      <w:r>
        <w:rPr>
          <w:rFonts w:hint="eastAsia" w:cs="Times New Roman"/>
          <w:bCs/>
          <w:color w:val="auto"/>
          <w:sz w:val="24"/>
          <w:szCs w:val="24"/>
          <w:lang w:val="en-US" w:eastAsia="zh-CN"/>
        </w:rPr>
        <w:t>8</w:t>
      </w:r>
      <w:r>
        <w:rPr>
          <w:rFonts w:hint="default" w:ascii="Times New Roman" w:hAnsi="Times New Roman" w:eastAsia="宋体" w:cs="Times New Roman"/>
          <w:bCs/>
          <w:color w:val="auto"/>
          <w:sz w:val="24"/>
          <w:szCs w:val="24"/>
          <w:lang w:val="en-US" w:eastAsia="zh-CN"/>
        </w:rPr>
        <w:t xml:space="preserve">  </w:t>
      </w:r>
      <w:r>
        <w:rPr>
          <w:rFonts w:hint="eastAsia" w:cs="Times New Roman"/>
          <w:bCs/>
          <w:color w:val="auto"/>
          <w:sz w:val="24"/>
          <w:szCs w:val="24"/>
          <w:lang w:val="en-US" w:eastAsia="zh-CN"/>
        </w:rPr>
        <w:t>验收</w:t>
      </w:r>
      <w:r>
        <w:rPr>
          <w:rFonts w:hint="default" w:ascii="Times New Roman" w:hAnsi="Times New Roman" w:eastAsia="宋体" w:cs="Times New Roman"/>
          <w:bCs/>
          <w:color w:val="auto"/>
          <w:sz w:val="24"/>
          <w:szCs w:val="24"/>
          <w:lang w:val="en-US" w:eastAsia="zh-CN"/>
        </w:rPr>
        <w:t>监测报告</w:t>
      </w:r>
    </w:p>
    <w:p w14:paraId="2E6C0C27">
      <w:pPr>
        <w:spacing w:line="360" w:lineRule="auto"/>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 xml:space="preserve">附件9  </w:t>
      </w:r>
      <w:r>
        <w:rPr>
          <w:rFonts w:hint="eastAsia" w:ascii="Times New Roman" w:hAnsi="Times New Roman" w:eastAsia="宋体" w:cs="Times New Roman"/>
          <w:bCs/>
          <w:color w:val="auto"/>
          <w:sz w:val="24"/>
          <w:szCs w:val="24"/>
          <w:lang w:val="en-US" w:eastAsia="zh-CN"/>
        </w:rPr>
        <w:t>危废处置协议</w:t>
      </w:r>
    </w:p>
    <w:p w14:paraId="1025BCE9">
      <w:pPr>
        <w:spacing w:line="360" w:lineRule="auto"/>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 xml:space="preserve">附件10  </w:t>
      </w:r>
      <w:r>
        <w:rPr>
          <w:rFonts w:hint="eastAsia" w:ascii="Times New Roman" w:hAnsi="Times New Roman" w:eastAsia="宋体" w:cs="Times New Roman"/>
          <w:bCs/>
          <w:color w:val="auto"/>
          <w:sz w:val="24"/>
          <w:szCs w:val="24"/>
          <w:lang w:val="en-US" w:eastAsia="zh-CN"/>
        </w:rPr>
        <w:t>化粪池清掏协议</w:t>
      </w:r>
    </w:p>
    <w:p w14:paraId="3A5110D3">
      <w:pPr>
        <w:spacing w:line="360" w:lineRule="auto"/>
        <w:rPr>
          <w:rFonts w:hint="default" w:ascii="Times New Roman" w:hAnsi="Times New Roman" w:cs="Times New Roman"/>
          <w:b/>
          <w:color w:val="auto"/>
          <w:sz w:val="28"/>
          <w:szCs w:val="28"/>
        </w:rPr>
      </w:pPr>
    </w:p>
    <w:p w14:paraId="18E8F250">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附表：</w:t>
      </w:r>
    </w:p>
    <w:p w14:paraId="79CC0A29">
      <w:pPr>
        <w:spacing w:line="360" w:lineRule="auto"/>
        <w:ind w:left="-607" w:leftChars="-253" w:firstLine="532" w:firstLineChars="222"/>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建设项目竣工环境保护</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三同时”验收登记表</w:t>
      </w:r>
    </w:p>
    <w:p w14:paraId="62F57A4B">
      <w:pPr>
        <w:pStyle w:val="2"/>
        <w:keepNext/>
        <w:keepLines/>
        <w:pageBreakBefore w:val="0"/>
        <w:widowControl w:val="0"/>
        <w:kinsoku/>
        <w:wordWrap/>
        <w:overflowPunct/>
        <w:topLinePunct w:val="0"/>
        <w:autoSpaceDE w:val="0"/>
        <w:autoSpaceDN w:val="0"/>
        <w:bidi w:val="0"/>
        <w:adjustRightInd/>
        <w:snapToGrid/>
        <w:spacing w:before="0" w:after="0" w:line="360" w:lineRule="auto"/>
        <w:textAlignment w:val="auto"/>
        <w:outlineLvl w:val="9"/>
        <w:rPr>
          <w:rFonts w:hint="default" w:ascii="Times New Roman" w:hAnsi="Times New Roman" w:cs="Times New Roman"/>
          <w:color w:val="auto"/>
          <w:sz w:val="24"/>
          <w:szCs w:val="24"/>
          <w:lang w:val="en-US" w:eastAsia="zh-CN"/>
        </w:rPr>
        <w:sectPr>
          <w:headerReference r:id="rId10" w:type="default"/>
          <w:pgSz w:w="11911" w:h="16838"/>
          <w:pgMar w:top="1440" w:right="1361" w:bottom="1440" w:left="1361" w:header="907" w:footer="918" w:gutter="0"/>
          <w:pgBorders>
            <w:top w:val="none" w:sz="0" w:space="0"/>
            <w:left w:val="none" w:sz="0" w:space="0"/>
            <w:bottom w:val="none" w:sz="0" w:space="0"/>
            <w:right w:val="none" w:sz="0" w:space="0"/>
          </w:pgBorders>
          <w:pgNumType w:fmt="decimal" w:start="1"/>
          <w:cols w:space="720" w:num="1"/>
          <w:rtlGutter w:val="0"/>
          <w:docGrid w:linePitch="0" w:charSpace="0"/>
        </w:sectPr>
      </w:pPr>
    </w:p>
    <w:p w14:paraId="5E82CBAD">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kern w:val="0"/>
          <w:sz w:val="32"/>
          <w:szCs w:val="56"/>
          <w:lang w:val="en-US" w:bidi="ar-SA"/>
        </w:rPr>
      </w:pPr>
      <w:bookmarkStart w:id="3" w:name="_Toc13788"/>
      <w:bookmarkStart w:id="4" w:name="_Toc10071"/>
      <w:r>
        <w:rPr>
          <w:rFonts w:hint="default" w:ascii="Times New Roman" w:hAnsi="Times New Roman" w:eastAsia="宋体" w:cs="Times New Roman"/>
          <w:b/>
          <w:bCs/>
          <w:kern w:val="0"/>
          <w:sz w:val="32"/>
          <w:szCs w:val="56"/>
          <w:lang w:val="en-US" w:bidi="ar-SA"/>
        </w:rPr>
        <w:t>表</w:t>
      </w:r>
      <w:r>
        <w:rPr>
          <w:rFonts w:hint="default" w:ascii="Times New Roman" w:hAnsi="Times New Roman" w:eastAsia="宋体" w:cs="Times New Roman"/>
          <w:b/>
          <w:bCs/>
          <w:kern w:val="0"/>
          <w:sz w:val="32"/>
          <w:szCs w:val="56"/>
          <w:lang w:val="en-US" w:eastAsia="zh-CN" w:bidi="ar-SA"/>
        </w:rPr>
        <w:t xml:space="preserve">1  </w:t>
      </w:r>
      <w:r>
        <w:rPr>
          <w:rFonts w:hint="default" w:ascii="Times New Roman" w:hAnsi="Times New Roman" w:eastAsia="宋体" w:cs="Times New Roman"/>
          <w:b/>
          <w:bCs/>
          <w:kern w:val="0"/>
          <w:sz w:val="32"/>
          <w:szCs w:val="56"/>
          <w:lang w:val="en-US" w:bidi="ar-SA"/>
        </w:rPr>
        <w:t>项目总体情况</w:t>
      </w:r>
      <w:bookmarkEnd w:id="1"/>
      <w:bookmarkEnd w:id="3"/>
      <w:bookmarkEnd w:id="4"/>
    </w:p>
    <w:tbl>
      <w:tblPr>
        <w:tblStyle w:val="17"/>
        <w:tblW w:w="5266"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594"/>
        <w:gridCol w:w="1673"/>
        <w:gridCol w:w="458"/>
        <w:gridCol w:w="625"/>
        <w:gridCol w:w="16"/>
        <w:gridCol w:w="501"/>
        <w:gridCol w:w="547"/>
        <w:gridCol w:w="559"/>
        <w:gridCol w:w="495"/>
        <w:gridCol w:w="530"/>
        <w:gridCol w:w="47"/>
        <w:gridCol w:w="16"/>
        <w:gridCol w:w="322"/>
        <w:gridCol w:w="712"/>
        <w:gridCol w:w="644"/>
        <w:gridCol w:w="960"/>
      </w:tblGrid>
      <w:tr w14:paraId="347FBF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6D696E65">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建设项目名称</w:t>
            </w:r>
          </w:p>
        </w:tc>
        <w:tc>
          <w:tcPr>
            <w:tcW w:w="4177" w:type="pct"/>
            <w:gridSpan w:val="15"/>
            <w:tcBorders>
              <w:tl2br w:val="nil"/>
              <w:tr2bl w:val="nil"/>
            </w:tcBorders>
            <w:noWrap w:val="0"/>
            <w:vAlign w:val="center"/>
          </w:tcPr>
          <w:p w14:paraId="33FC0B16">
            <w:pPr>
              <w:pStyle w:val="23"/>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sz w:val="24"/>
                <w:lang w:eastAsia="zh-CN"/>
              </w:rPr>
            </w:pPr>
            <w:r>
              <w:rPr>
                <w:rFonts w:hint="eastAsia" w:cs="Times New Roman"/>
                <w:sz w:val="24"/>
                <w:lang w:eastAsia="zh-CN"/>
              </w:rPr>
              <w:t>湖北省嘉丰泰华矿业有限公司白鸭山矿区C8区块饰面用花岗岩矿开采项目</w:t>
            </w:r>
          </w:p>
        </w:tc>
      </w:tr>
      <w:tr w14:paraId="74DA14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67AD89D3">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建设单位</w:t>
            </w:r>
          </w:p>
        </w:tc>
        <w:tc>
          <w:tcPr>
            <w:tcW w:w="4177" w:type="pct"/>
            <w:gridSpan w:val="15"/>
            <w:tcBorders>
              <w:tl2br w:val="nil"/>
              <w:tr2bl w:val="nil"/>
            </w:tcBorders>
            <w:noWrap w:val="0"/>
            <w:vAlign w:val="center"/>
          </w:tcPr>
          <w:p w14:paraId="446E1270">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eastAsia="zh-CN"/>
              </w:rPr>
            </w:pPr>
            <w:r>
              <w:rPr>
                <w:rFonts w:hint="eastAsia" w:cs="Times New Roman"/>
                <w:sz w:val="24"/>
                <w:lang w:eastAsia="zh-CN"/>
              </w:rPr>
              <w:t>湖北省嘉丰泰华矿业有限公司</w:t>
            </w:r>
          </w:p>
        </w:tc>
      </w:tr>
      <w:tr w14:paraId="139D12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4D5B5455">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lang w:eastAsia="zh-CN"/>
              </w:rPr>
              <w:t>法定代表人</w:t>
            </w:r>
          </w:p>
        </w:tc>
        <w:tc>
          <w:tcPr>
            <w:tcW w:w="1421" w:type="pct"/>
            <w:gridSpan w:val="3"/>
            <w:tcBorders>
              <w:tl2br w:val="nil"/>
              <w:tr2bl w:val="nil"/>
            </w:tcBorders>
            <w:noWrap w:val="0"/>
            <w:vAlign w:val="center"/>
          </w:tcPr>
          <w:p w14:paraId="4C2C393F">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eastAsia="zh-CN"/>
              </w:rPr>
            </w:pPr>
            <w:r>
              <w:rPr>
                <w:rFonts w:hint="eastAsia" w:cs="Times New Roman"/>
                <w:color w:val="auto"/>
                <w:sz w:val="24"/>
                <w:szCs w:val="24"/>
                <w:highlight w:val="none"/>
                <w:lang w:eastAsia="zh-CN"/>
              </w:rPr>
              <w:t>郑劲涛</w:t>
            </w:r>
          </w:p>
        </w:tc>
        <w:tc>
          <w:tcPr>
            <w:tcW w:w="1388" w:type="pct"/>
            <w:gridSpan w:val="7"/>
            <w:tcBorders>
              <w:tl2br w:val="nil"/>
              <w:tr2bl w:val="nil"/>
            </w:tcBorders>
            <w:noWrap w:val="0"/>
            <w:vAlign w:val="center"/>
          </w:tcPr>
          <w:p w14:paraId="5064D3A4">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联系人</w:t>
            </w:r>
          </w:p>
        </w:tc>
        <w:tc>
          <w:tcPr>
            <w:tcW w:w="1367" w:type="pct"/>
            <w:gridSpan w:val="5"/>
            <w:tcBorders>
              <w:tl2br w:val="nil"/>
              <w:tr2bl w:val="nil"/>
            </w:tcBorders>
            <w:noWrap w:val="0"/>
            <w:vAlign w:val="center"/>
          </w:tcPr>
          <w:p w14:paraId="1F9A4C4B">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val="en-US" w:eastAsia="zh-CN"/>
              </w:rPr>
            </w:pPr>
            <w:r>
              <w:rPr>
                <w:rFonts w:hint="eastAsia" w:cs="Times New Roman"/>
                <w:color w:val="auto"/>
                <w:sz w:val="24"/>
                <w:szCs w:val="24"/>
                <w:highlight w:val="none"/>
                <w:lang w:eastAsia="zh-CN"/>
              </w:rPr>
              <w:t>郑劲涛</w:t>
            </w:r>
          </w:p>
        </w:tc>
      </w:tr>
      <w:tr w14:paraId="5BF2C9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2A11ADDA">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通信地址</w:t>
            </w:r>
          </w:p>
        </w:tc>
        <w:tc>
          <w:tcPr>
            <w:tcW w:w="4177" w:type="pct"/>
            <w:gridSpan w:val="15"/>
            <w:tcBorders>
              <w:tl2br w:val="nil"/>
              <w:tr2bl w:val="nil"/>
            </w:tcBorders>
            <w:noWrap w:val="0"/>
            <w:vAlign w:val="center"/>
          </w:tcPr>
          <w:p w14:paraId="6BA5438C">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麻城市南湖办事处十里铺村</w:t>
            </w:r>
          </w:p>
        </w:tc>
      </w:tr>
      <w:tr w14:paraId="19F08E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3DFF5661">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联系电话</w:t>
            </w:r>
          </w:p>
        </w:tc>
        <w:tc>
          <w:tcPr>
            <w:tcW w:w="863" w:type="pct"/>
            <w:tcBorders>
              <w:tl2br w:val="nil"/>
              <w:tr2bl w:val="nil"/>
            </w:tcBorders>
            <w:noWrap w:val="0"/>
            <w:vAlign w:val="center"/>
          </w:tcPr>
          <w:p w14:paraId="16396F45">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eastAsia="zh-CN"/>
              </w:rPr>
            </w:pPr>
            <w:r>
              <w:rPr>
                <w:rFonts w:hint="eastAsia" w:cs="Times New Roman"/>
                <w:sz w:val="24"/>
                <w:lang w:eastAsia="zh-CN"/>
              </w:rPr>
              <w:t>18162898666</w:t>
            </w:r>
          </w:p>
        </w:tc>
        <w:tc>
          <w:tcPr>
            <w:tcW w:w="824" w:type="pct"/>
            <w:gridSpan w:val="4"/>
            <w:tcBorders>
              <w:tl2br w:val="nil"/>
              <w:tr2bl w:val="nil"/>
            </w:tcBorders>
            <w:noWrap w:val="0"/>
            <w:vAlign w:val="center"/>
          </w:tcPr>
          <w:p w14:paraId="6F1775B1">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传真</w:t>
            </w:r>
          </w:p>
        </w:tc>
        <w:tc>
          <w:tcPr>
            <w:tcW w:w="825" w:type="pct"/>
            <w:gridSpan w:val="3"/>
            <w:tcBorders>
              <w:tl2br w:val="nil"/>
              <w:tr2bl w:val="nil"/>
            </w:tcBorders>
            <w:noWrap w:val="0"/>
            <w:vAlign w:val="center"/>
          </w:tcPr>
          <w:p w14:paraId="131D7156">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w:t>
            </w:r>
          </w:p>
        </w:tc>
        <w:tc>
          <w:tcPr>
            <w:tcW w:w="837" w:type="pct"/>
            <w:gridSpan w:val="5"/>
            <w:tcBorders>
              <w:tl2br w:val="nil"/>
              <w:tr2bl w:val="nil"/>
            </w:tcBorders>
            <w:noWrap w:val="0"/>
            <w:vAlign w:val="center"/>
          </w:tcPr>
          <w:p w14:paraId="36EAF2B6">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邮政编码</w:t>
            </w:r>
          </w:p>
        </w:tc>
        <w:tc>
          <w:tcPr>
            <w:tcW w:w="826" w:type="pct"/>
            <w:gridSpan w:val="2"/>
            <w:tcBorders>
              <w:tl2br w:val="nil"/>
              <w:tr2bl w:val="nil"/>
            </w:tcBorders>
            <w:noWrap w:val="0"/>
            <w:vAlign w:val="center"/>
          </w:tcPr>
          <w:p w14:paraId="45B91703">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eastAsia="zh-CN"/>
              </w:rPr>
            </w:pPr>
            <w:r>
              <w:rPr>
                <w:rFonts w:hint="eastAsia" w:ascii="Times New Roman" w:hAnsi="Times New Roman" w:eastAsia="宋体" w:cs="Times New Roman"/>
                <w:sz w:val="24"/>
                <w:lang w:val="en-US" w:eastAsia="zh-CN"/>
              </w:rPr>
              <w:t>438336</w:t>
            </w:r>
          </w:p>
        </w:tc>
      </w:tr>
      <w:tr w14:paraId="713B28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42C4C41C">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建设地点</w:t>
            </w:r>
          </w:p>
        </w:tc>
        <w:tc>
          <w:tcPr>
            <w:tcW w:w="4177" w:type="pct"/>
            <w:gridSpan w:val="15"/>
            <w:tcBorders>
              <w:tl2br w:val="nil"/>
              <w:tr2bl w:val="nil"/>
            </w:tcBorders>
            <w:noWrap w:val="0"/>
            <w:vAlign w:val="center"/>
          </w:tcPr>
          <w:p w14:paraId="64C29CC8">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eastAsia" w:cs="Times New Roman"/>
                <w:color w:val="auto"/>
                <w:sz w:val="24"/>
                <w:szCs w:val="24"/>
                <w:u w:val="none"/>
                <w:lang w:eastAsia="zh-CN"/>
              </w:rPr>
              <w:t>麻城市白鸭山矿区C8区块</w:t>
            </w:r>
          </w:p>
        </w:tc>
      </w:tr>
      <w:tr w14:paraId="749B2D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43087498">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项目性质</w:t>
            </w:r>
          </w:p>
        </w:tc>
        <w:tc>
          <w:tcPr>
            <w:tcW w:w="1429" w:type="pct"/>
            <w:gridSpan w:val="4"/>
            <w:tcBorders>
              <w:tl2br w:val="nil"/>
              <w:tr2bl w:val="nil"/>
            </w:tcBorders>
            <w:noWrap w:val="0"/>
            <w:vAlign w:val="center"/>
          </w:tcPr>
          <w:p w14:paraId="7A45F4D7">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新建■改扩建□技建□</w:t>
            </w:r>
          </w:p>
        </w:tc>
        <w:tc>
          <w:tcPr>
            <w:tcW w:w="1388" w:type="pct"/>
            <w:gridSpan w:val="7"/>
            <w:tcBorders>
              <w:tl2br w:val="nil"/>
              <w:tr2bl w:val="nil"/>
            </w:tcBorders>
            <w:noWrap w:val="0"/>
            <w:vAlign w:val="center"/>
          </w:tcPr>
          <w:p w14:paraId="2EE0B93A">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行业类别</w:t>
            </w:r>
          </w:p>
        </w:tc>
        <w:tc>
          <w:tcPr>
            <w:tcW w:w="1359" w:type="pct"/>
            <w:gridSpan w:val="4"/>
            <w:tcBorders>
              <w:tl2br w:val="nil"/>
              <w:tr2bl w:val="nil"/>
            </w:tcBorders>
            <w:noWrap w:val="0"/>
            <w:vAlign w:val="center"/>
          </w:tcPr>
          <w:p w14:paraId="714174D3">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Cs w:val="21"/>
                <w:lang w:val="en-US" w:eastAsia="zh-CN"/>
              </w:rPr>
              <w:t xml:space="preserve">B101  </w:t>
            </w:r>
            <w:r>
              <w:rPr>
                <w:rFonts w:hint="default" w:ascii="Times New Roman" w:hAnsi="Times New Roman" w:cs="Times New Roman"/>
                <w:szCs w:val="21"/>
              </w:rPr>
              <w:t>土砂石开采</w:t>
            </w:r>
          </w:p>
        </w:tc>
      </w:tr>
      <w:tr w14:paraId="1D7B74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547F8369">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环境影响报告表名称</w:t>
            </w:r>
          </w:p>
        </w:tc>
        <w:tc>
          <w:tcPr>
            <w:tcW w:w="4177" w:type="pct"/>
            <w:gridSpan w:val="15"/>
            <w:tcBorders>
              <w:tl2br w:val="nil"/>
              <w:tr2bl w:val="nil"/>
            </w:tcBorders>
            <w:noWrap w:val="0"/>
            <w:vAlign w:val="center"/>
          </w:tcPr>
          <w:p w14:paraId="5C3E213D">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FF0000"/>
                <w:sz w:val="24"/>
                <w:lang w:val="en-US" w:eastAsia="zh-CN"/>
              </w:rPr>
            </w:pPr>
            <w:r>
              <w:rPr>
                <w:rFonts w:hint="eastAsia" w:cs="Times New Roman"/>
                <w:color w:val="auto"/>
                <w:sz w:val="24"/>
                <w:lang w:eastAsia="zh-CN"/>
              </w:rPr>
              <w:t>湖北省嘉丰泰华矿业有限公司白鸭山矿区C8区块饰面用花岗岩矿开采项目</w:t>
            </w:r>
            <w:r>
              <w:rPr>
                <w:rFonts w:hint="default" w:ascii="Times New Roman" w:hAnsi="Times New Roman" w:eastAsia="宋体" w:cs="Times New Roman"/>
                <w:color w:val="auto"/>
                <w:sz w:val="24"/>
                <w:lang w:eastAsia="zh-CN"/>
              </w:rPr>
              <w:t>环境影响</w:t>
            </w:r>
            <w:r>
              <w:rPr>
                <w:rFonts w:hint="default" w:ascii="Times New Roman" w:hAnsi="Times New Roman" w:eastAsia="宋体" w:cs="Times New Roman"/>
                <w:color w:val="auto"/>
                <w:sz w:val="24"/>
                <w:lang w:val="en-US" w:eastAsia="zh-CN"/>
              </w:rPr>
              <w:t>报告表</w:t>
            </w:r>
          </w:p>
        </w:tc>
      </w:tr>
      <w:tr w14:paraId="70F3AC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7BF7CBB9">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环境影响评价单位</w:t>
            </w:r>
          </w:p>
        </w:tc>
        <w:tc>
          <w:tcPr>
            <w:tcW w:w="4177" w:type="pct"/>
            <w:gridSpan w:val="15"/>
            <w:tcBorders>
              <w:tl2br w:val="nil"/>
              <w:tr2bl w:val="nil"/>
            </w:tcBorders>
            <w:noWrap w:val="0"/>
            <w:vAlign w:val="center"/>
          </w:tcPr>
          <w:p w14:paraId="6B2A680D">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湖北黄达环保技术咨询有限公司</w:t>
            </w:r>
          </w:p>
        </w:tc>
      </w:tr>
      <w:tr w14:paraId="72132C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2DBE7F40">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初步设计单位</w:t>
            </w:r>
          </w:p>
        </w:tc>
        <w:tc>
          <w:tcPr>
            <w:tcW w:w="4177" w:type="pct"/>
            <w:gridSpan w:val="15"/>
            <w:tcBorders>
              <w:tl2br w:val="nil"/>
              <w:tr2bl w:val="nil"/>
            </w:tcBorders>
            <w:noWrap w:val="0"/>
            <w:vAlign w:val="center"/>
          </w:tcPr>
          <w:p w14:paraId="29092D2C">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湖北省地质矿业开发有限责任公司</w:t>
            </w:r>
          </w:p>
        </w:tc>
      </w:tr>
      <w:tr w14:paraId="033813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58CC2017">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环境影响评价审批部门</w:t>
            </w:r>
          </w:p>
        </w:tc>
        <w:tc>
          <w:tcPr>
            <w:tcW w:w="1099" w:type="pct"/>
            <w:gridSpan w:val="2"/>
            <w:tcBorders>
              <w:tl2br w:val="nil"/>
              <w:tr2bl w:val="nil"/>
            </w:tcBorders>
            <w:noWrap w:val="0"/>
            <w:vAlign w:val="center"/>
          </w:tcPr>
          <w:p w14:paraId="0B5956DA">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4"/>
                <w:szCs w:val="22"/>
                <w:lang w:val="zh-CN" w:eastAsia="zh-CN" w:bidi="zh-CN"/>
              </w:rPr>
            </w:pPr>
            <w:r>
              <w:rPr>
                <w:rFonts w:hint="default" w:ascii="Times New Roman" w:hAnsi="Times New Roman" w:cs="Times New Roman"/>
                <w:color w:val="auto"/>
                <w:sz w:val="24"/>
                <w:lang w:eastAsia="zh-CN"/>
              </w:rPr>
              <w:t>黄冈市生态环境局</w:t>
            </w:r>
            <w:r>
              <w:rPr>
                <w:rFonts w:hint="eastAsia" w:cs="Times New Roman"/>
                <w:color w:val="auto"/>
                <w:sz w:val="24"/>
                <w:lang w:val="en-US" w:eastAsia="zh-CN"/>
              </w:rPr>
              <w:t>麻城市</w:t>
            </w:r>
            <w:r>
              <w:rPr>
                <w:rFonts w:hint="default" w:ascii="Times New Roman" w:hAnsi="Times New Roman" w:cs="Times New Roman"/>
                <w:color w:val="auto"/>
                <w:sz w:val="24"/>
                <w:lang w:eastAsia="zh-CN"/>
              </w:rPr>
              <w:t>分局</w:t>
            </w:r>
          </w:p>
        </w:tc>
        <w:tc>
          <w:tcPr>
            <w:tcW w:w="870" w:type="pct"/>
            <w:gridSpan w:val="4"/>
            <w:tcBorders>
              <w:tl2br w:val="nil"/>
              <w:tr2bl w:val="nil"/>
            </w:tcBorders>
            <w:noWrap w:val="0"/>
            <w:vAlign w:val="center"/>
          </w:tcPr>
          <w:p w14:paraId="280E6A8B">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color w:val="auto"/>
                <w:sz w:val="24"/>
                <w:szCs w:val="22"/>
                <w:lang w:val="zh-CN" w:eastAsia="zh-CN" w:bidi="zh-CN"/>
              </w:rPr>
            </w:pPr>
            <w:r>
              <w:rPr>
                <w:rFonts w:hint="default" w:ascii="Times New Roman" w:hAnsi="Times New Roman" w:cs="Times New Roman"/>
                <w:color w:val="auto"/>
                <w:sz w:val="24"/>
              </w:rPr>
              <w:t>文号</w:t>
            </w:r>
          </w:p>
        </w:tc>
        <w:tc>
          <w:tcPr>
            <w:tcW w:w="815" w:type="pct"/>
            <w:gridSpan w:val="3"/>
            <w:tcBorders>
              <w:tl2br w:val="nil"/>
              <w:tr2bl w:val="nil"/>
            </w:tcBorders>
            <w:noWrap w:val="0"/>
            <w:vAlign w:val="center"/>
          </w:tcPr>
          <w:p w14:paraId="103A47B4">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4"/>
                <w:szCs w:val="22"/>
                <w:lang w:val="zh-CN" w:eastAsia="zh-CN" w:bidi="zh-CN"/>
              </w:rPr>
            </w:pPr>
            <w:r>
              <w:rPr>
                <w:rFonts w:hint="eastAsia" w:cs="Times New Roman"/>
                <w:sz w:val="24"/>
                <w:szCs w:val="24"/>
                <w:lang w:val="en-US" w:eastAsia="zh-CN"/>
              </w:rPr>
              <w:t>麻环审[2024]20号</w:t>
            </w:r>
          </w:p>
        </w:tc>
        <w:tc>
          <w:tcPr>
            <w:tcW w:w="565" w:type="pct"/>
            <w:gridSpan w:val="4"/>
            <w:tcBorders>
              <w:tl2br w:val="nil"/>
              <w:tr2bl w:val="nil"/>
            </w:tcBorders>
            <w:noWrap w:val="0"/>
            <w:vAlign w:val="center"/>
          </w:tcPr>
          <w:p w14:paraId="49F4F348">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color w:val="auto"/>
                <w:sz w:val="24"/>
                <w:szCs w:val="22"/>
                <w:lang w:val="zh-CN" w:eastAsia="zh-CN" w:bidi="zh-CN"/>
              </w:rPr>
            </w:pPr>
            <w:r>
              <w:rPr>
                <w:rFonts w:hint="default" w:ascii="Times New Roman" w:hAnsi="Times New Roman" w:cs="Times New Roman"/>
                <w:color w:val="auto"/>
                <w:sz w:val="24"/>
              </w:rPr>
              <w:t>时间</w:t>
            </w:r>
          </w:p>
        </w:tc>
        <w:tc>
          <w:tcPr>
            <w:tcW w:w="826" w:type="pct"/>
            <w:gridSpan w:val="2"/>
            <w:tcBorders>
              <w:tl2br w:val="nil"/>
              <w:tr2bl w:val="nil"/>
            </w:tcBorders>
            <w:noWrap w:val="0"/>
            <w:vAlign w:val="center"/>
          </w:tcPr>
          <w:p w14:paraId="0A49354D">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4"/>
                <w:szCs w:val="22"/>
                <w:lang w:val="en-US" w:eastAsia="zh-CN" w:bidi="zh-CN"/>
              </w:rPr>
            </w:pPr>
            <w:r>
              <w:rPr>
                <w:rFonts w:hint="default" w:ascii="Times New Roman" w:hAnsi="Times New Roman" w:cs="Times New Roman"/>
                <w:color w:val="auto"/>
                <w:sz w:val="24"/>
                <w:lang w:val="en-US" w:eastAsia="zh-CN"/>
              </w:rPr>
              <w:t>202</w:t>
            </w:r>
            <w:r>
              <w:rPr>
                <w:rFonts w:hint="eastAsia" w:cs="Times New Roman"/>
                <w:color w:val="auto"/>
                <w:sz w:val="24"/>
                <w:lang w:val="en-US" w:eastAsia="zh-CN"/>
              </w:rPr>
              <w:t>4</w:t>
            </w:r>
            <w:r>
              <w:rPr>
                <w:rFonts w:hint="default" w:ascii="Times New Roman" w:hAnsi="Times New Roman" w:cs="Times New Roman"/>
                <w:color w:val="auto"/>
                <w:sz w:val="24"/>
              </w:rPr>
              <w:t>年</w:t>
            </w:r>
            <w:r>
              <w:rPr>
                <w:rFonts w:hint="eastAsia" w:cs="Times New Roman"/>
                <w:color w:val="auto"/>
                <w:sz w:val="24"/>
                <w:lang w:val="en-US" w:eastAsia="zh-CN"/>
              </w:rPr>
              <w:t>5</w:t>
            </w:r>
            <w:r>
              <w:rPr>
                <w:rFonts w:hint="default" w:ascii="Times New Roman" w:hAnsi="Times New Roman" w:cs="Times New Roman"/>
                <w:color w:val="auto"/>
                <w:sz w:val="24"/>
              </w:rPr>
              <w:t>月</w:t>
            </w:r>
            <w:r>
              <w:rPr>
                <w:rFonts w:hint="eastAsia" w:cs="Times New Roman"/>
                <w:color w:val="auto"/>
                <w:sz w:val="24"/>
                <w:lang w:val="en-US" w:eastAsia="zh-CN"/>
              </w:rPr>
              <w:t>20</w:t>
            </w:r>
            <w:r>
              <w:rPr>
                <w:rFonts w:hint="default" w:ascii="Times New Roman" w:hAnsi="Times New Roman" w:cs="Times New Roman"/>
                <w:color w:val="auto"/>
                <w:sz w:val="24"/>
                <w:lang w:eastAsia="zh-CN"/>
              </w:rPr>
              <w:t>日</w:t>
            </w:r>
          </w:p>
        </w:tc>
      </w:tr>
      <w:tr w14:paraId="6C3BB2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266495CA">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初步设计审批部门</w:t>
            </w:r>
          </w:p>
        </w:tc>
        <w:tc>
          <w:tcPr>
            <w:tcW w:w="1099" w:type="pct"/>
            <w:gridSpan w:val="2"/>
            <w:tcBorders>
              <w:tl2br w:val="nil"/>
              <w:tr2bl w:val="nil"/>
            </w:tcBorders>
            <w:noWrap w:val="0"/>
            <w:vAlign w:val="center"/>
          </w:tcPr>
          <w:p w14:paraId="2BD74F37">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w:t>
            </w:r>
          </w:p>
        </w:tc>
        <w:tc>
          <w:tcPr>
            <w:tcW w:w="870" w:type="pct"/>
            <w:gridSpan w:val="4"/>
            <w:tcBorders>
              <w:tl2br w:val="nil"/>
              <w:tr2bl w:val="nil"/>
            </w:tcBorders>
            <w:noWrap w:val="0"/>
            <w:vAlign w:val="center"/>
          </w:tcPr>
          <w:p w14:paraId="029D07BE">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w:t>
            </w:r>
          </w:p>
        </w:tc>
        <w:tc>
          <w:tcPr>
            <w:tcW w:w="815" w:type="pct"/>
            <w:gridSpan w:val="3"/>
            <w:tcBorders>
              <w:tl2br w:val="nil"/>
              <w:tr2bl w:val="nil"/>
            </w:tcBorders>
            <w:noWrap w:val="0"/>
            <w:vAlign w:val="center"/>
          </w:tcPr>
          <w:p w14:paraId="437DF4E9">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w:t>
            </w:r>
          </w:p>
        </w:tc>
        <w:tc>
          <w:tcPr>
            <w:tcW w:w="565" w:type="pct"/>
            <w:gridSpan w:val="4"/>
            <w:tcBorders>
              <w:tl2br w:val="nil"/>
              <w:tr2bl w:val="nil"/>
            </w:tcBorders>
            <w:noWrap w:val="0"/>
            <w:vAlign w:val="center"/>
          </w:tcPr>
          <w:p w14:paraId="463ED390">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w:t>
            </w:r>
          </w:p>
        </w:tc>
        <w:tc>
          <w:tcPr>
            <w:tcW w:w="826" w:type="pct"/>
            <w:gridSpan w:val="2"/>
            <w:tcBorders>
              <w:tl2br w:val="nil"/>
              <w:tr2bl w:val="nil"/>
            </w:tcBorders>
            <w:noWrap w:val="0"/>
            <w:vAlign w:val="center"/>
          </w:tcPr>
          <w:p w14:paraId="130F13ED">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w:t>
            </w:r>
          </w:p>
        </w:tc>
      </w:tr>
      <w:tr w14:paraId="03F62C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0EEE1D35">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环境保护设施监测单位</w:t>
            </w:r>
          </w:p>
        </w:tc>
        <w:tc>
          <w:tcPr>
            <w:tcW w:w="4177" w:type="pct"/>
            <w:gridSpan w:val="15"/>
            <w:tcBorders>
              <w:tl2br w:val="nil"/>
              <w:tr2bl w:val="nil"/>
            </w:tcBorders>
            <w:noWrap w:val="0"/>
            <w:vAlign w:val="center"/>
          </w:tcPr>
          <w:p w14:paraId="5E393963">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eastAsia="zh-CN"/>
              </w:rPr>
            </w:pPr>
            <w:r>
              <w:rPr>
                <w:rFonts w:hint="eastAsia" w:cs="Times New Roman"/>
                <w:color w:val="auto"/>
                <w:sz w:val="24"/>
                <w:lang w:eastAsia="zh-CN"/>
              </w:rPr>
              <w:t>博创检测（湖北）有限公司</w:t>
            </w:r>
          </w:p>
        </w:tc>
      </w:tr>
      <w:tr w14:paraId="5D2348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4BE1BB3A">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投资总概算（万元）</w:t>
            </w:r>
          </w:p>
        </w:tc>
        <w:tc>
          <w:tcPr>
            <w:tcW w:w="1099" w:type="pct"/>
            <w:gridSpan w:val="2"/>
            <w:tcBorders>
              <w:tl2br w:val="nil"/>
              <w:tr2bl w:val="nil"/>
            </w:tcBorders>
            <w:noWrap w:val="0"/>
            <w:vAlign w:val="center"/>
          </w:tcPr>
          <w:p w14:paraId="15128E0A">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color w:val="000000"/>
                <w:sz w:val="24"/>
                <w:szCs w:val="24"/>
                <w:highlight w:val="none"/>
                <w:lang w:val="en-US" w:eastAsia="zh-CN"/>
              </w:rPr>
              <w:t>22067.48</w:t>
            </w:r>
          </w:p>
        </w:tc>
        <w:tc>
          <w:tcPr>
            <w:tcW w:w="1158" w:type="pct"/>
            <w:gridSpan w:val="5"/>
            <w:tcBorders>
              <w:tl2br w:val="nil"/>
              <w:tr2bl w:val="nil"/>
            </w:tcBorders>
            <w:noWrap w:val="0"/>
            <w:vAlign w:val="center"/>
          </w:tcPr>
          <w:p w14:paraId="263A9BDB">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其中：环境保护</w:t>
            </w:r>
          </w:p>
          <w:p w14:paraId="10F22587">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投资（万元）</w:t>
            </w:r>
          </w:p>
        </w:tc>
        <w:tc>
          <w:tcPr>
            <w:tcW w:w="726" w:type="pct"/>
            <w:gridSpan w:val="5"/>
            <w:tcBorders>
              <w:tl2br w:val="nil"/>
              <w:tr2bl w:val="nil"/>
            </w:tcBorders>
            <w:noWrap w:val="0"/>
            <w:vAlign w:val="center"/>
          </w:tcPr>
          <w:p w14:paraId="3FC590C6">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color w:val="000000"/>
                <w:spacing w:val="9"/>
                <w:sz w:val="24"/>
                <w:szCs w:val="24"/>
                <w:highlight w:val="none"/>
                <w:lang w:val="en-US" w:eastAsia="zh-CN"/>
              </w:rPr>
              <w:t>6489.09</w:t>
            </w:r>
          </w:p>
        </w:tc>
        <w:tc>
          <w:tcPr>
            <w:tcW w:w="699" w:type="pct"/>
            <w:gridSpan w:val="2"/>
            <w:vMerge w:val="restart"/>
            <w:tcBorders>
              <w:tl2br w:val="nil"/>
              <w:tr2bl w:val="nil"/>
            </w:tcBorders>
            <w:noWrap w:val="0"/>
            <w:vAlign w:val="center"/>
          </w:tcPr>
          <w:p w14:paraId="0C75A69B">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环境保护投资占总投资比例</w:t>
            </w:r>
          </w:p>
        </w:tc>
        <w:tc>
          <w:tcPr>
            <w:tcW w:w="493" w:type="pct"/>
            <w:tcBorders>
              <w:tl2br w:val="nil"/>
              <w:tr2bl w:val="nil"/>
            </w:tcBorders>
            <w:noWrap w:val="0"/>
            <w:vAlign w:val="center"/>
          </w:tcPr>
          <w:p w14:paraId="260AAD7D">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color w:val="000000"/>
                <w:sz w:val="24"/>
                <w:szCs w:val="24"/>
                <w:highlight w:val="none"/>
                <w:lang w:val="en-US" w:eastAsia="zh-CN"/>
              </w:rPr>
              <w:t>29.4</w:t>
            </w:r>
            <w:r>
              <w:rPr>
                <w:rFonts w:hint="default" w:ascii="Times New Roman" w:hAnsi="Times New Roman" w:eastAsia="宋体" w:cs="Times New Roman"/>
                <w:sz w:val="24"/>
                <w:lang w:val="en-US" w:eastAsia="zh-CN"/>
              </w:rPr>
              <w:t>%</w:t>
            </w:r>
          </w:p>
        </w:tc>
      </w:tr>
      <w:tr w14:paraId="44DB9A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55756C4F">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实际总投资（万元）</w:t>
            </w:r>
          </w:p>
        </w:tc>
        <w:tc>
          <w:tcPr>
            <w:tcW w:w="1099" w:type="pct"/>
            <w:gridSpan w:val="2"/>
            <w:tcBorders>
              <w:tl2br w:val="nil"/>
              <w:tr2bl w:val="nil"/>
            </w:tcBorders>
            <w:noWrap w:val="0"/>
            <w:vAlign w:val="center"/>
          </w:tcPr>
          <w:p w14:paraId="10D070A4">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000000"/>
                <w:sz w:val="24"/>
                <w:szCs w:val="24"/>
                <w:highlight w:val="none"/>
                <w:lang w:val="en-US" w:eastAsia="zh-CN"/>
              </w:rPr>
              <w:t>22067.48</w:t>
            </w:r>
          </w:p>
        </w:tc>
        <w:tc>
          <w:tcPr>
            <w:tcW w:w="1158" w:type="pct"/>
            <w:gridSpan w:val="5"/>
            <w:tcBorders>
              <w:tl2br w:val="nil"/>
              <w:tr2bl w:val="nil"/>
            </w:tcBorders>
            <w:noWrap w:val="0"/>
            <w:vAlign w:val="center"/>
          </w:tcPr>
          <w:p w14:paraId="6ECBDD49">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其中：环境保护</w:t>
            </w:r>
          </w:p>
          <w:p w14:paraId="5130AAF5">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投资（万元）</w:t>
            </w:r>
          </w:p>
        </w:tc>
        <w:tc>
          <w:tcPr>
            <w:tcW w:w="726" w:type="pct"/>
            <w:gridSpan w:val="5"/>
            <w:tcBorders>
              <w:tl2br w:val="nil"/>
              <w:tr2bl w:val="nil"/>
            </w:tcBorders>
            <w:noWrap w:val="0"/>
            <w:vAlign w:val="center"/>
          </w:tcPr>
          <w:p w14:paraId="27633712">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4"/>
                <w:lang w:val="en-US" w:eastAsia="zh-CN"/>
              </w:rPr>
            </w:pPr>
            <w:r>
              <w:rPr>
                <w:rFonts w:hint="eastAsia" w:cs="Times New Roman"/>
                <w:color w:val="auto"/>
                <w:spacing w:val="9"/>
                <w:sz w:val="24"/>
                <w:szCs w:val="24"/>
                <w:highlight w:val="none"/>
                <w:lang w:val="en-US" w:eastAsia="zh-CN"/>
              </w:rPr>
              <w:t>2662</w:t>
            </w:r>
          </w:p>
        </w:tc>
        <w:tc>
          <w:tcPr>
            <w:tcW w:w="699" w:type="pct"/>
            <w:gridSpan w:val="2"/>
            <w:vMerge w:val="continue"/>
            <w:tcBorders>
              <w:tl2br w:val="nil"/>
              <w:tr2bl w:val="nil"/>
            </w:tcBorders>
            <w:noWrap w:val="0"/>
            <w:vAlign w:val="center"/>
          </w:tcPr>
          <w:p w14:paraId="20BE3989">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color w:val="auto"/>
                <w:sz w:val="2"/>
                <w:szCs w:val="2"/>
              </w:rPr>
            </w:pPr>
          </w:p>
        </w:tc>
        <w:tc>
          <w:tcPr>
            <w:tcW w:w="493" w:type="pct"/>
            <w:tcBorders>
              <w:tl2br w:val="nil"/>
              <w:tr2bl w:val="nil"/>
            </w:tcBorders>
            <w:noWrap w:val="0"/>
            <w:vAlign w:val="center"/>
          </w:tcPr>
          <w:p w14:paraId="5E4F6B4D">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4"/>
                <w:lang w:val="en-US" w:eastAsia="zh-CN"/>
              </w:rPr>
            </w:pPr>
            <w:r>
              <w:rPr>
                <w:rFonts w:hint="eastAsia" w:cs="Times New Roman"/>
                <w:color w:val="auto"/>
                <w:sz w:val="24"/>
                <w:szCs w:val="24"/>
                <w:highlight w:val="none"/>
                <w:lang w:val="en-US" w:eastAsia="zh-CN"/>
              </w:rPr>
              <w:t>12.1</w:t>
            </w:r>
            <w:r>
              <w:rPr>
                <w:rFonts w:hint="default" w:ascii="Times New Roman" w:hAnsi="Times New Roman" w:eastAsia="宋体" w:cs="Times New Roman"/>
                <w:color w:val="auto"/>
                <w:sz w:val="24"/>
                <w:lang w:val="en-US" w:eastAsia="zh-CN"/>
              </w:rPr>
              <w:t>%</w:t>
            </w:r>
          </w:p>
        </w:tc>
      </w:tr>
      <w:tr w14:paraId="5F135A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638EB78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2"/>
                <w:lang w:val="zh-CN" w:eastAsia="zh-CN" w:bidi="zh-CN"/>
              </w:rPr>
            </w:pPr>
            <w:r>
              <w:rPr>
                <w:rFonts w:hint="default" w:ascii="Times New Roman" w:hAnsi="Times New Roman" w:eastAsia="宋体" w:cs="Times New Roman"/>
                <w:sz w:val="24"/>
                <w:szCs w:val="22"/>
                <w:lang w:val="zh-CN" w:eastAsia="zh-CN" w:bidi="zh-CN"/>
              </w:rPr>
              <w:t>环评设计规模</w:t>
            </w:r>
          </w:p>
        </w:tc>
        <w:tc>
          <w:tcPr>
            <w:tcW w:w="2785" w:type="pct"/>
            <w:gridSpan w:val="9"/>
            <w:tcBorders>
              <w:tl2br w:val="nil"/>
              <w:tr2bl w:val="nil"/>
            </w:tcBorders>
            <w:noWrap w:val="0"/>
            <w:vAlign w:val="center"/>
          </w:tcPr>
          <w:p w14:paraId="35A8C115">
            <w:pPr>
              <w:pStyle w:val="23"/>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cs="Times New Roman"/>
                <w:color w:val="000000"/>
                <w:sz w:val="24"/>
                <w:lang w:val="en-US" w:eastAsia="zh-CN"/>
              </w:rPr>
            </w:pPr>
            <w:r>
              <w:rPr>
                <w:rFonts w:hint="default" w:eastAsia="宋体" w:cs="Times New Roman"/>
                <w:color w:val="000000"/>
                <w:kern w:val="0"/>
                <w:sz w:val="24"/>
                <w:szCs w:val="24"/>
                <w:lang w:val="en-US" w:eastAsia="zh-CN" w:bidi="ar"/>
              </w:rPr>
              <w:t>项目投资</w:t>
            </w:r>
            <w:r>
              <w:rPr>
                <w:rFonts w:hint="eastAsia" w:eastAsia="宋体" w:cs="Times New Roman"/>
                <w:color w:val="000000"/>
                <w:kern w:val="0"/>
                <w:sz w:val="24"/>
                <w:szCs w:val="24"/>
                <w:lang w:val="en-US" w:eastAsia="zh-CN" w:bidi="ar"/>
              </w:rPr>
              <w:t>22067.48</w:t>
            </w:r>
            <w:r>
              <w:rPr>
                <w:rFonts w:hint="default" w:eastAsia="宋体" w:cs="Times New Roman"/>
                <w:color w:val="000000"/>
                <w:kern w:val="0"/>
                <w:sz w:val="24"/>
                <w:szCs w:val="24"/>
                <w:lang w:val="en-US" w:eastAsia="zh-CN" w:bidi="ar"/>
              </w:rPr>
              <w:t>万元，矿区采矿权出让面积1.5033</w:t>
            </w:r>
            <w:r>
              <w:rPr>
                <w:rFonts w:hint="default" w:ascii="Times New Roman" w:hAnsi="Times New Roman" w:cs="Times New Roman"/>
                <w:color w:val="000000"/>
                <w:sz w:val="24"/>
                <w:lang w:val="en-US" w:eastAsia="zh-CN"/>
              </w:rPr>
              <w:t>km</w:t>
            </w:r>
            <w:r>
              <w:rPr>
                <w:rFonts w:hint="default" w:ascii="Times New Roman" w:hAnsi="Times New Roman" w:cs="Times New Roman"/>
                <w:color w:val="000000"/>
                <w:sz w:val="24"/>
                <w:vertAlign w:val="superscript"/>
                <w:lang w:val="en-US" w:eastAsia="zh-CN"/>
              </w:rPr>
              <w:t>2</w:t>
            </w:r>
            <w:r>
              <w:rPr>
                <w:rFonts w:hint="default" w:ascii="Times New Roman" w:hAnsi="Times New Roman" w:cs="Times New Roman"/>
                <w:color w:val="000000"/>
                <w:sz w:val="24"/>
                <w:lang w:val="en-US" w:eastAsia="zh-CN"/>
              </w:rPr>
              <w:t>，产品方案为</w:t>
            </w:r>
            <w:r>
              <w:rPr>
                <w:rFonts w:hint="default" w:ascii="Times New Roman" w:hAnsi="Times New Roman" w:eastAsia="宋体" w:cs="Times New Roman"/>
                <w:color w:val="000000"/>
                <w:kern w:val="0"/>
                <w:sz w:val="24"/>
                <w:szCs w:val="24"/>
                <w:highlight w:val="none"/>
                <w:lang w:val="en-US" w:eastAsia="zh-CN" w:bidi="ar"/>
              </w:rPr>
              <w:t>饰面用花岗岩</w:t>
            </w:r>
            <w:r>
              <w:rPr>
                <w:rFonts w:hint="default" w:ascii="Times New Roman" w:hAnsi="Times New Roman" w:cs="Times New Roman"/>
                <w:color w:val="000000"/>
                <w:sz w:val="24"/>
                <w:lang w:val="en-US" w:eastAsia="zh-CN"/>
              </w:rPr>
              <w:t>，</w:t>
            </w:r>
            <w:r>
              <w:rPr>
                <w:rFonts w:hint="eastAsia" w:cs="Times New Roman"/>
                <w:color w:val="000000"/>
                <w:sz w:val="24"/>
                <w:lang w:val="en-US" w:eastAsia="zh-CN"/>
              </w:rPr>
              <w:t>开采规模</w:t>
            </w:r>
            <w:r>
              <w:rPr>
                <w:rFonts w:hint="eastAsia" w:cs="Times New Roman"/>
                <w:color w:val="000000"/>
                <w:kern w:val="0"/>
                <w:sz w:val="24"/>
                <w:szCs w:val="24"/>
                <w:lang w:val="en-US" w:eastAsia="zh-CN" w:bidi="ar"/>
              </w:rPr>
              <w:t>23万立方米</w:t>
            </w:r>
            <w:r>
              <w:rPr>
                <w:rFonts w:hint="default" w:ascii="Times New Roman" w:hAnsi="Times New Roman" w:eastAsia="宋体" w:cs="Times New Roman"/>
                <w:color w:val="000000"/>
                <w:kern w:val="0"/>
                <w:sz w:val="24"/>
                <w:szCs w:val="24"/>
                <w:lang w:val="en-US" w:eastAsia="zh-CN" w:bidi="ar"/>
              </w:rPr>
              <w:t>/年</w:t>
            </w:r>
            <w:r>
              <w:rPr>
                <w:rFonts w:hint="default" w:ascii="Times New Roman" w:hAnsi="Times New Roman" w:cs="Times New Roman"/>
                <w:color w:val="000000"/>
                <w:sz w:val="24"/>
                <w:lang w:val="en-US" w:eastAsia="zh-CN"/>
              </w:rPr>
              <w:t>。开采矿种为饰面用花岗岩，矿山服务年限为</w:t>
            </w:r>
            <w:r>
              <w:rPr>
                <w:rFonts w:hint="eastAsia" w:cs="Times New Roman"/>
                <w:color w:val="000000"/>
                <w:sz w:val="24"/>
                <w:lang w:val="en-US" w:eastAsia="zh-CN"/>
              </w:rPr>
              <w:t>25.5</w:t>
            </w:r>
            <w:r>
              <w:rPr>
                <w:rFonts w:hint="default" w:ascii="Times New Roman" w:hAnsi="Times New Roman" w:cs="Times New Roman"/>
                <w:color w:val="000000"/>
                <w:sz w:val="24"/>
                <w:lang w:val="en-US" w:eastAsia="zh-CN"/>
              </w:rPr>
              <w:t>年。矿山开采方式为露天采矿，其主体工程包括露天采场、办公生活区、矿区道路、供配电系统、供水系统及环保工程等</w:t>
            </w:r>
            <w:r>
              <w:rPr>
                <w:rFonts w:hint="eastAsia" w:cs="Times New Roman"/>
                <w:color w:val="000000"/>
                <w:sz w:val="24"/>
                <w:lang w:val="en-US" w:eastAsia="zh-CN"/>
              </w:rPr>
              <w:t>。</w:t>
            </w:r>
          </w:p>
        </w:tc>
        <w:tc>
          <w:tcPr>
            <w:tcW w:w="565" w:type="pct"/>
            <w:gridSpan w:val="4"/>
            <w:tcBorders>
              <w:tl2br w:val="nil"/>
              <w:tr2bl w:val="nil"/>
            </w:tcBorders>
            <w:noWrap w:val="0"/>
            <w:vAlign w:val="center"/>
          </w:tcPr>
          <w:p w14:paraId="2398AC71">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建设项目开工日期</w:t>
            </w:r>
          </w:p>
        </w:tc>
        <w:tc>
          <w:tcPr>
            <w:tcW w:w="826" w:type="pct"/>
            <w:gridSpan w:val="2"/>
            <w:tcBorders>
              <w:tl2br w:val="nil"/>
              <w:tr2bl w:val="nil"/>
            </w:tcBorders>
            <w:noWrap w:val="0"/>
            <w:vAlign w:val="center"/>
          </w:tcPr>
          <w:p w14:paraId="58517875">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highlight w:val="none"/>
                <w:lang w:eastAsia="zh-CN"/>
              </w:rPr>
            </w:pPr>
            <w:r>
              <w:rPr>
                <w:rFonts w:hint="default" w:ascii="Times New Roman" w:hAnsi="Times New Roman" w:cs="Times New Roman"/>
                <w:sz w:val="24"/>
                <w:highlight w:val="none"/>
                <w:lang w:val="en-US" w:eastAsia="zh-CN"/>
              </w:rPr>
              <w:t>202</w:t>
            </w:r>
            <w:r>
              <w:rPr>
                <w:rFonts w:hint="eastAsia" w:cs="Times New Roman"/>
                <w:sz w:val="24"/>
                <w:highlight w:val="none"/>
                <w:lang w:val="en-US" w:eastAsia="zh-CN"/>
              </w:rPr>
              <w:t>4</w:t>
            </w:r>
            <w:r>
              <w:rPr>
                <w:rFonts w:hint="default" w:ascii="Times New Roman" w:hAnsi="Times New Roman" w:cs="Times New Roman"/>
                <w:sz w:val="24"/>
                <w:highlight w:val="none"/>
                <w:lang w:eastAsia="zh-CN"/>
              </w:rPr>
              <w:t>年</w:t>
            </w:r>
            <w:r>
              <w:rPr>
                <w:rFonts w:hint="eastAsia" w:cs="Times New Roman"/>
                <w:sz w:val="24"/>
                <w:highlight w:val="none"/>
                <w:lang w:val="en-US" w:eastAsia="zh-CN"/>
              </w:rPr>
              <w:t>5</w:t>
            </w:r>
            <w:r>
              <w:rPr>
                <w:rFonts w:hint="default" w:ascii="Times New Roman" w:hAnsi="Times New Roman" w:cs="Times New Roman"/>
                <w:sz w:val="24"/>
                <w:highlight w:val="none"/>
                <w:lang w:eastAsia="zh-CN"/>
              </w:rPr>
              <w:t>月</w:t>
            </w:r>
          </w:p>
        </w:tc>
      </w:tr>
      <w:tr w14:paraId="211BAA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4585D21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2"/>
                <w:lang w:val="zh-CN" w:eastAsia="zh-CN" w:bidi="zh-CN"/>
              </w:rPr>
            </w:pPr>
            <w:r>
              <w:rPr>
                <w:rFonts w:hint="default" w:ascii="Times New Roman" w:hAnsi="Times New Roman" w:eastAsia="宋体" w:cs="Times New Roman"/>
                <w:sz w:val="24"/>
                <w:szCs w:val="22"/>
                <w:lang w:val="zh-CN" w:eastAsia="zh-CN" w:bidi="zh-CN"/>
              </w:rPr>
              <w:t>实际建设规模</w:t>
            </w:r>
          </w:p>
        </w:tc>
        <w:tc>
          <w:tcPr>
            <w:tcW w:w="2785" w:type="pct"/>
            <w:gridSpan w:val="9"/>
            <w:tcBorders>
              <w:tl2br w:val="nil"/>
              <w:tr2bl w:val="nil"/>
            </w:tcBorders>
            <w:noWrap w:val="0"/>
            <w:vAlign w:val="center"/>
          </w:tcPr>
          <w:p w14:paraId="7FE4D330">
            <w:pPr>
              <w:keepNext w:val="0"/>
              <w:keepLines w:val="0"/>
              <w:pageBreakBefore w:val="0"/>
              <w:widowControl w:val="0"/>
              <w:numPr>
                <w:ilvl w:val="0"/>
                <w:numId w:val="0"/>
              </w:numPr>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 w:val="24"/>
              </w:rPr>
            </w:pPr>
            <w:r>
              <w:rPr>
                <w:rFonts w:hint="default" w:eastAsia="宋体" w:cs="Times New Roman"/>
                <w:color w:val="000000"/>
                <w:kern w:val="0"/>
                <w:sz w:val="24"/>
                <w:szCs w:val="24"/>
                <w:lang w:val="en-US" w:eastAsia="zh-CN" w:bidi="ar"/>
              </w:rPr>
              <w:t>项目投资</w:t>
            </w:r>
            <w:r>
              <w:rPr>
                <w:rFonts w:hint="eastAsia" w:eastAsia="宋体" w:cs="Times New Roman"/>
                <w:color w:val="000000"/>
                <w:kern w:val="0"/>
                <w:sz w:val="24"/>
                <w:szCs w:val="24"/>
                <w:lang w:val="en-US" w:eastAsia="zh-CN" w:bidi="ar"/>
              </w:rPr>
              <w:t>22067.48</w:t>
            </w:r>
            <w:r>
              <w:rPr>
                <w:rFonts w:hint="default" w:eastAsia="宋体" w:cs="Times New Roman"/>
                <w:color w:val="000000"/>
                <w:kern w:val="0"/>
                <w:sz w:val="24"/>
                <w:szCs w:val="24"/>
                <w:lang w:val="en-US" w:eastAsia="zh-CN" w:bidi="ar"/>
              </w:rPr>
              <w:t>万元，矿区采矿权出让面积1.5033</w:t>
            </w:r>
            <w:r>
              <w:rPr>
                <w:rFonts w:hint="default" w:ascii="Times New Roman" w:hAnsi="Times New Roman" w:cs="Times New Roman"/>
                <w:color w:val="000000"/>
                <w:sz w:val="24"/>
                <w:lang w:val="en-US" w:eastAsia="zh-CN"/>
              </w:rPr>
              <w:t>km</w:t>
            </w:r>
            <w:r>
              <w:rPr>
                <w:rFonts w:hint="default" w:ascii="Times New Roman" w:hAnsi="Times New Roman" w:cs="Times New Roman"/>
                <w:color w:val="000000"/>
                <w:sz w:val="24"/>
                <w:vertAlign w:val="superscript"/>
                <w:lang w:val="en-US" w:eastAsia="zh-CN"/>
              </w:rPr>
              <w:t>2</w:t>
            </w:r>
            <w:r>
              <w:rPr>
                <w:rFonts w:hint="default" w:ascii="Times New Roman" w:hAnsi="Times New Roman" w:cs="Times New Roman"/>
                <w:color w:val="000000"/>
                <w:sz w:val="24"/>
                <w:lang w:val="en-US" w:eastAsia="zh-CN"/>
              </w:rPr>
              <w:t>，产品方案为</w:t>
            </w:r>
            <w:r>
              <w:rPr>
                <w:rFonts w:hint="default" w:ascii="Times New Roman" w:hAnsi="Times New Roman" w:eastAsia="宋体" w:cs="Times New Roman"/>
                <w:color w:val="000000"/>
                <w:kern w:val="0"/>
                <w:sz w:val="24"/>
                <w:szCs w:val="24"/>
                <w:highlight w:val="none"/>
                <w:lang w:val="en-US" w:eastAsia="zh-CN" w:bidi="ar"/>
              </w:rPr>
              <w:t>饰面用花岗岩</w:t>
            </w:r>
            <w:r>
              <w:rPr>
                <w:rFonts w:hint="default" w:ascii="Times New Roman" w:hAnsi="Times New Roman" w:cs="Times New Roman"/>
                <w:color w:val="000000"/>
                <w:sz w:val="24"/>
                <w:lang w:val="en-US" w:eastAsia="zh-CN"/>
              </w:rPr>
              <w:t>，</w:t>
            </w:r>
            <w:r>
              <w:rPr>
                <w:rFonts w:hint="eastAsia" w:cs="Times New Roman"/>
                <w:color w:val="000000"/>
                <w:sz w:val="24"/>
                <w:lang w:val="en-US" w:eastAsia="zh-CN"/>
              </w:rPr>
              <w:t>开采规模</w:t>
            </w:r>
            <w:r>
              <w:rPr>
                <w:rFonts w:hint="eastAsia" w:cs="Times New Roman"/>
                <w:color w:val="000000"/>
                <w:kern w:val="0"/>
                <w:sz w:val="24"/>
                <w:szCs w:val="24"/>
                <w:lang w:val="en-US" w:eastAsia="zh-CN" w:bidi="ar"/>
              </w:rPr>
              <w:t>23万立方米</w:t>
            </w:r>
            <w:r>
              <w:rPr>
                <w:rFonts w:hint="default" w:ascii="Times New Roman" w:hAnsi="Times New Roman" w:eastAsia="宋体" w:cs="Times New Roman"/>
                <w:color w:val="000000"/>
                <w:kern w:val="0"/>
                <w:sz w:val="24"/>
                <w:szCs w:val="24"/>
                <w:lang w:val="en-US" w:eastAsia="zh-CN" w:bidi="ar"/>
              </w:rPr>
              <w:t>/年</w:t>
            </w:r>
            <w:r>
              <w:rPr>
                <w:rFonts w:hint="default" w:ascii="Times New Roman" w:hAnsi="Times New Roman" w:cs="Times New Roman"/>
                <w:color w:val="000000"/>
                <w:sz w:val="24"/>
                <w:lang w:val="en-US" w:eastAsia="zh-CN"/>
              </w:rPr>
              <w:t>。开采矿种为饰面用花岗岩，矿山服务年限为</w:t>
            </w:r>
            <w:r>
              <w:rPr>
                <w:rFonts w:hint="eastAsia" w:cs="Times New Roman"/>
                <w:color w:val="000000"/>
                <w:sz w:val="24"/>
                <w:lang w:val="en-US" w:eastAsia="zh-CN"/>
              </w:rPr>
              <w:t>25.5</w:t>
            </w:r>
            <w:r>
              <w:rPr>
                <w:rFonts w:hint="default" w:ascii="Times New Roman" w:hAnsi="Times New Roman" w:cs="Times New Roman"/>
                <w:color w:val="000000"/>
                <w:sz w:val="24"/>
                <w:lang w:val="en-US" w:eastAsia="zh-CN"/>
              </w:rPr>
              <w:t>年。矿山开采方式为露天采矿，其主体工程包括露天采场、办公生活区、矿区道路、供配电系统、供水系统及环保工程等</w:t>
            </w:r>
            <w:r>
              <w:rPr>
                <w:rFonts w:hint="eastAsia" w:cs="Times New Roman"/>
                <w:color w:val="000000"/>
                <w:sz w:val="24"/>
                <w:lang w:val="en-US" w:eastAsia="zh-CN"/>
              </w:rPr>
              <w:t>。</w:t>
            </w:r>
          </w:p>
        </w:tc>
        <w:tc>
          <w:tcPr>
            <w:tcW w:w="565" w:type="pct"/>
            <w:gridSpan w:val="4"/>
            <w:tcBorders>
              <w:tl2br w:val="nil"/>
              <w:tr2bl w:val="nil"/>
            </w:tcBorders>
            <w:noWrap w:val="0"/>
            <w:vAlign w:val="center"/>
          </w:tcPr>
          <w:p w14:paraId="0EE405D5">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投入试运行日期</w:t>
            </w:r>
          </w:p>
        </w:tc>
        <w:tc>
          <w:tcPr>
            <w:tcW w:w="826" w:type="pct"/>
            <w:gridSpan w:val="2"/>
            <w:tcBorders>
              <w:tl2br w:val="nil"/>
              <w:tr2bl w:val="nil"/>
            </w:tcBorders>
            <w:noWrap w:val="0"/>
            <w:vAlign w:val="center"/>
          </w:tcPr>
          <w:p w14:paraId="51D4F991">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lang w:val="en-US" w:eastAsia="zh-CN"/>
              </w:rPr>
              <w:t>202</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lang w:eastAsia="zh-CN"/>
              </w:rPr>
              <w:t>年</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eastAsia="zh-CN"/>
              </w:rPr>
              <w:t>月</w:t>
            </w:r>
          </w:p>
        </w:tc>
      </w:tr>
      <w:tr w14:paraId="4DBB60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5F9A1586">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调查经费</w:t>
            </w:r>
          </w:p>
        </w:tc>
        <w:tc>
          <w:tcPr>
            <w:tcW w:w="4177" w:type="pct"/>
            <w:gridSpan w:val="15"/>
            <w:tcBorders>
              <w:tl2br w:val="nil"/>
              <w:tr2bl w:val="nil"/>
            </w:tcBorders>
            <w:noWrap w:val="0"/>
            <w:vAlign w:val="center"/>
          </w:tcPr>
          <w:p w14:paraId="0A739282">
            <w:pPr>
              <w:pStyle w:val="23"/>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w:t>
            </w:r>
          </w:p>
        </w:tc>
      </w:tr>
      <w:tr w14:paraId="44E593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2C5A8500">
            <w:pPr>
              <w:pStyle w:val="23"/>
              <w:keepNext w:val="0"/>
              <w:keepLines w:val="0"/>
              <w:pageBreakBefore w:val="0"/>
              <w:widowControl w:val="0"/>
              <w:kinsoku/>
              <w:wordWrap/>
              <w:overflowPunct/>
              <w:topLinePunct w:val="0"/>
              <w:bidi w:val="0"/>
              <w:adjustRightInd w:val="0"/>
              <w:snapToGrid w:val="0"/>
              <w:spacing w:line="360" w:lineRule="auto"/>
              <w:ind w:left="0" w:leftChars="0"/>
              <w:jc w:val="center"/>
              <w:textAlignment w:val="auto"/>
              <w:rPr>
                <w:rFonts w:hint="default" w:ascii="Times New Roman" w:hAnsi="Times New Roman" w:eastAsia="宋体" w:cs="Times New Roman"/>
                <w:sz w:val="24"/>
                <w:lang w:eastAsia="zh-CN"/>
              </w:rPr>
            </w:pPr>
            <w:r>
              <w:rPr>
                <w:rFonts w:hint="default" w:ascii="Times New Roman" w:hAnsi="Times New Roman" w:cs="Times New Roman"/>
                <w:sz w:val="24"/>
              </w:rPr>
              <w:t>项目建设过程简述</w:t>
            </w:r>
            <w:r>
              <w:rPr>
                <w:rFonts w:hint="default" w:ascii="Times New Roman" w:hAnsi="Times New Roman" w:cs="Times New Roman"/>
                <w:sz w:val="24"/>
                <w:lang w:eastAsia="zh-CN"/>
              </w:rPr>
              <w:t>（项目立项～试运行）</w:t>
            </w:r>
          </w:p>
        </w:tc>
        <w:tc>
          <w:tcPr>
            <w:tcW w:w="4177" w:type="pct"/>
            <w:gridSpan w:val="15"/>
            <w:tcBorders>
              <w:tl2br w:val="nil"/>
              <w:tr2bl w:val="nil"/>
            </w:tcBorders>
            <w:noWrap w:val="0"/>
            <w:vAlign w:val="center"/>
          </w:tcPr>
          <w:p w14:paraId="3A0F0513">
            <w:pPr>
              <w:pStyle w:val="10"/>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sz w:val="24"/>
                <w:szCs w:val="24"/>
              </w:rPr>
            </w:pPr>
            <w:r>
              <w:rPr>
                <w:rFonts w:hint="eastAsia" w:eastAsia="宋体" w:cs="Times New Roman"/>
                <w:sz w:val="24"/>
                <w:szCs w:val="24"/>
                <w:lang w:eastAsia="zh-CN"/>
              </w:rPr>
              <w:t>湖北省嘉丰泰华矿业有限公司白鸭山矿区C8区块饰面用花岗岩矿开采项目</w:t>
            </w:r>
            <w:r>
              <w:rPr>
                <w:rFonts w:hint="default" w:ascii="Times New Roman" w:hAnsi="Times New Roman" w:eastAsia="宋体" w:cs="Times New Roman"/>
                <w:sz w:val="24"/>
                <w:szCs w:val="24"/>
              </w:rPr>
              <w:t>是由</w:t>
            </w:r>
            <w:r>
              <w:rPr>
                <w:rFonts w:hint="eastAsia" w:eastAsia="宋体" w:cs="Times New Roman"/>
                <w:sz w:val="24"/>
                <w:szCs w:val="24"/>
                <w:lang w:eastAsia="zh-CN"/>
              </w:rPr>
              <w:t>湖北省嘉丰泰华矿业有限公司</w:t>
            </w:r>
            <w:r>
              <w:rPr>
                <w:rFonts w:hint="default" w:ascii="Times New Roman" w:hAnsi="Times New Roman" w:eastAsia="宋体" w:cs="Times New Roman"/>
                <w:sz w:val="24"/>
                <w:szCs w:val="24"/>
                <w:lang w:eastAsia="zh-CN"/>
              </w:rPr>
              <w:t>（以下简称“我公司”）</w:t>
            </w:r>
            <w:r>
              <w:rPr>
                <w:rFonts w:hint="default" w:ascii="Times New Roman" w:hAnsi="Times New Roman" w:eastAsia="宋体" w:cs="Times New Roman"/>
                <w:sz w:val="24"/>
                <w:szCs w:val="24"/>
              </w:rPr>
              <w:t>承建，项目地点位于麻城市白鸭山矿区</w:t>
            </w:r>
            <w:r>
              <w:rPr>
                <w:rFonts w:hint="eastAsia" w:eastAsia="宋体" w:cs="Times New Roman"/>
                <w:sz w:val="24"/>
                <w:szCs w:val="24"/>
                <w:lang w:eastAsia="zh-CN"/>
              </w:rPr>
              <w:t>C8区块</w:t>
            </w:r>
            <w:r>
              <w:rPr>
                <w:rFonts w:hint="default" w:ascii="Times New Roman" w:hAnsi="Times New Roman" w:eastAsia="宋体" w:cs="Times New Roman"/>
                <w:sz w:val="24"/>
                <w:szCs w:val="24"/>
              </w:rPr>
              <w:t>。</w:t>
            </w:r>
          </w:p>
          <w:p w14:paraId="1AC9C73E">
            <w:pPr>
              <w:pStyle w:val="10"/>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w:t>
            </w:r>
            <w:r>
              <w:rPr>
                <w:rFonts w:hint="eastAsia" w:eastAsia="宋体" w:cs="Times New Roman"/>
                <w:sz w:val="24"/>
                <w:szCs w:val="24"/>
                <w:lang w:val="en-US" w:eastAsia="zh-CN"/>
              </w:rPr>
              <w:t>4</w:t>
            </w:r>
            <w:r>
              <w:rPr>
                <w:rFonts w:hint="default" w:ascii="Times New Roman" w:hAnsi="Times New Roman" w:eastAsia="宋体" w:cs="Times New Roman"/>
                <w:sz w:val="24"/>
                <w:szCs w:val="24"/>
                <w:lang w:val="en-US" w:eastAsia="zh-CN"/>
              </w:rPr>
              <w:t>年</w:t>
            </w:r>
            <w:r>
              <w:rPr>
                <w:rFonts w:hint="eastAsia" w:eastAsia="宋体" w:cs="Times New Roman"/>
                <w:sz w:val="24"/>
                <w:szCs w:val="24"/>
                <w:lang w:val="en-US" w:eastAsia="zh-CN"/>
              </w:rPr>
              <w:t>4</w:t>
            </w:r>
            <w:r>
              <w:rPr>
                <w:rFonts w:hint="default" w:ascii="Times New Roman" w:hAnsi="Times New Roman" w:eastAsia="宋体" w:cs="Times New Roman"/>
                <w:sz w:val="24"/>
                <w:szCs w:val="24"/>
                <w:lang w:val="en-US" w:eastAsia="zh-CN"/>
              </w:rPr>
              <w:t>月</w:t>
            </w:r>
            <w:r>
              <w:rPr>
                <w:rFonts w:hint="eastAsia" w:eastAsia="宋体" w:cs="Times New Roman"/>
                <w:sz w:val="24"/>
                <w:szCs w:val="24"/>
                <w:lang w:val="en-US" w:eastAsia="zh-CN"/>
              </w:rPr>
              <w:t>19</w:t>
            </w:r>
            <w:r>
              <w:rPr>
                <w:rFonts w:hint="default" w:ascii="Times New Roman" w:hAnsi="Times New Roman" w:eastAsia="宋体" w:cs="Times New Roman"/>
                <w:sz w:val="24"/>
                <w:szCs w:val="24"/>
                <w:lang w:val="en-US" w:eastAsia="zh-CN"/>
              </w:rPr>
              <w:t>日，我公司取得该项目的备案证，登记备案项目代码：</w:t>
            </w:r>
            <w:r>
              <w:rPr>
                <w:rFonts w:hint="eastAsia" w:cs="Times New Roman"/>
                <w:color w:val="auto"/>
                <w:sz w:val="24"/>
                <w:szCs w:val="24"/>
                <w:lang w:eastAsia="zh-CN"/>
              </w:rPr>
              <w:t>2303-421181-04-01-622627</w:t>
            </w:r>
            <w:r>
              <w:rPr>
                <w:rFonts w:hint="default" w:ascii="Times New Roman" w:hAnsi="Times New Roman" w:eastAsia="宋体" w:cs="Times New Roman"/>
                <w:sz w:val="24"/>
                <w:szCs w:val="24"/>
                <w:lang w:val="en-US" w:eastAsia="zh-CN"/>
              </w:rPr>
              <w:t>。</w:t>
            </w:r>
          </w:p>
          <w:p w14:paraId="16130EBC">
            <w:pPr>
              <w:pStyle w:val="10"/>
              <w:widowControl w:val="0"/>
              <w:autoSpaceDE w:val="0"/>
              <w:autoSpaceDN w:val="0"/>
              <w:adjustRightInd w:val="0"/>
              <w:snapToGrid w:val="0"/>
              <w:spacing w:after="0"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我公司委托湖北黄达环保技术咨询有限公司编制了</w:t>
            </w:r>
            <w:r>
              <w:rPr>
                <w:rFonts w:hint="default" w:ascii="Times New Roman" w:hAnsi="Times New Roman" w:eastAsia="宋体" w:cs="Times New Roman"/>
                <w:sz w:val="24"/>
                <w:szCs w:val="24"/>
              </w:rPr>
              <w:t>《</w:t>
            </w:r>
            <w:r>
              <w:rPr>
                <w:rFonts w:hint="eastAsia" w:eastAsia="宋体" w:cs="Times New Roman"/>
                <w:sz w:val="24"/>
                <w:szCs w:val="24"/>
                <w:lang w:eastAsia="zh-CN"/>
              </w:rPr>
              <w:t>湖北省嘉丰泰华矿业有限公司白鸭山矿区C8区块饰面用花岗岩矿开采项目</w:t>
            </w:r>
            <w:r>
              <w:rPr>
                <w:rFonts w:hint="default"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202</w:t>
            </w:r>
            <w:r>
              <w:rPr>
                <w:rFonts w:hint="eastAsia" w:eastAsia="宋体" w:cs="Times New Roman"/>
                <w:sz w:val="24"/>
                <w:szCs w:val="24"/>
                <w:lang w:val="en-US" w:eastAsia="zh-CN"/>
              </w:rPr>
              <w:t>4</w:t>
            </w:r>
            <w:r>
              <w:rPr>
                <w:rFonts w:hint="default" w:ascii="Times New Roman" w:hAnsi="Times New Roman" w:eastAsia="宋体" w:cs="Times New Roman"/>
                <w:sz w:val="24"/>
                <w:szCs w:val="24"/>
                <w:lang w:val="en-US" w:eastAsia="zh-CN"/>
              </w:rPr>
              <w:t>年</w:t>
            </w:r>
            <w:r>
              <w:rPr>
                <w:rFonts w:hint="eastAsia" w:eastAsia="宋体" w:cs="Times New Roman"/>
                <w:sz w:val="24"/>
                <w:szCs w:val="24"/>
                <w:lang w:val="en-US" w:eastAsia="zh-CN"/>
              </w:rPr>
              <w:t>5</w:t>
            </w:r>
            <w:r>
              <w:rPr>
                <w:rFonts w:hint="default" w:ascii="Times New Roman" w:hAnsi="Times New Roman" w:eastAsia="宋体" w:cs="Times New Roman"/>
                <w:sz w:val="24"/>
                <w:szCs w:val="24"/>
                <w:lang w:val="en-US" w:eastAsia="zh-CN"/>
              </w:rPr>
              <w:t>月</w:t>
            </w:r>
            <w:r>
              <w:rPr>
                <w:rFonts w:hint="eastAsia" w:eastAsia="宋体" w:cs="Times New Roman"/>
                <w:sz w:val="24"/>
                <w:szCs w:val="24"/>
                <w:lang w:val="en-US" w:eastAsia="zh-CN"/>
              </w:rPr>
              <w:t>20</w:t>
            </w:r>
            <w:r>
              <w:rPr>
                <w:rFonts w:hint="default" w:ascii="Times New Roman" w:hAnsi="Times New Roman" w:eastAsia="宋体" w:cs="Times New Roman"/>
                <w:sz w:val="24"/>
                <w:szCs w:val="24"/>
                <w:lang w:val="en-US" w:eastAsia="zh-CN"/>
              </w:rPr>
              <w:t>日，</w:t>
            </w:r>
            <w:r>
              <w:rPr>
                <w:rFonts w:hint="default" w:ascii="Times New Roman" w:hAnsi="Times New Roman" w:eastAsia="宋体" w:cs="Times New Roman"/>
                <w:sz w:val="24"/>
                <w:szCs w:val="24"/>
                <w:lang w:eastAsia="zh-CN"/>
              </w:rPr>
              <w:t>黄冈市生态环境局</w:t>
            </w:r>
            <w:r>
              <w:rPr>
                <w:rFonts w:hint="eastAsia" w:eastAsia="宋体" w:cs="Times New Roman"/>
                <w:sz w:val="24"/>
                <w:szCs w:val="24"/>
                <w:lang w:val="en-US" w:eastAsia="zh-CN"/>
              </w:rPr>
              <w:t>麻城市</w:t>
            </w:r>
            <w:r>
              <w:rPr>
                <w:rFonts w:hint="default" w:ascii="Times New Roman" w:hAnsi="Times New Roman" w:eastAsia="宋体" w:cs="Times New Roman"/>
                <w:sz w:val="24"/>
                <w:szCs w:val="24"/>
                <w:lang w:eastAsia="zh-CN"/>
              </w:rPr>
              <w:t>分局</w:t>
            </w:r>
            <w:r>
              <w:rPr>
                <w:rFonts w:hint="default" w:ascii="Times New Roman" w:hAnsi="Times New Roman" w:eastAsia="宋体" w:cs="Times New Roman"/>
                <w:sz w:val="24"/>
                <w:szCs w:val="24"/>
              </w:rPr>
              <w:t>以</w:t>
            </w:r>
            <w:r>
              <w:rPr>
                <w:rFonts w:hint="eastAsia" w:eastAsia="宋体" w:cs="Times New Roman"/>
                <w:sz w:val="24"/>
                <w:szCs w:val="24"/>
                <w:lang w:val="en-US" w:eastAsia="zh-CN"/>
              </w:rPr>
              <w:t>麻环审〔2024〕20号</w:t>
            </w:r>
            <w:r>
              <w:rPr>
                <w:rFonts w:hint="default" w:ascii="Times New Roman" w:hAnsi="Times New Roman" w:eastAsia="宋体" w:cs="Times New Roman"/>
                <w:sz w:val="24"/>
                <w:szCs w:val="24"/>
              </w:rPr>
              <w:t>文对项目环境影响报告表进</w:t>
            </w:r>
            <w:r>
              <w:rPr>
                <w:rFonts w:hint="default" w:ascii="Times New Roman" w:hAnsi="Times New Roman" w:eastAsia="宋体" w:cs="Times New Roman"/>
                <w:sz w:val="24"/>
                <w:szCs w:val="24"/>
                <w:lang w:eastAsia="zh-CN"/>
              </w:rPr>
              <w:t>行了批复。</w:t>
            </w:r>
            <w:r>
              <w:rPr>
                <w:rFonts w:hint="default" w:ascii="Times New Roman" w:hAnsi="Times New Roman" w:eastAsia="宋体" w:cs="Times New Roman"/>
                <w:color w:val="auto"/>
                <w:sz w:val="24"/>
                <w:szCs w:val="24"/>
                <w:lang w:val="en-US" w:eastAsia="zh-CN"/>
              </w:rPr>
              <w:t>该批复中项目位于湖北省麻城市白鸭山，</w:t>
            </w:r>
            <w:r>
              <w:rPr>
                <w:rFonts w:hint="eastAsia" w:eastAsia="宋体" w:cs="Times New Roman"/>
                <w:color w:val="auto"/>
                <w:sz w:val="24"/>
                <w:szCs w:val="24"/>
                <w:lang w:val="en-US" w:eastAsia="zh-CN"/>
              </w:rPr>
              <w:t>C8区块中心地理坐标为东经115°4’26.824”、北纬31°4’8.791”，矿区面积1.5033平方公里，开采标高为+450米至+220米，开采规模为23万立方米/年，开采矿种为饰面用花岗岩。矿山开采方式为露天开采，自上而下分台阶进行，采用圆盘锯切割、绳锯辅助分离、装载机铲装、汽车运输的开采工艺，其工程组成包括露天采场、办公生活区、矿区道路、供配电系统、供水系统及环保工程等。</w:t>
            </w:r>
            <w:r>
              <w:rPr>
                <w:rFonts w:hint="default" w:ascii="Times New Roman" w:hAnsi="Times New Roman" w:eastAsia="宋体" w:cs="Times New Roman"/>
                <w:color w:val="auto"/>
                <w:sz w:val="24"/>
                <w:szCs w:val="24"/>
                <w:lang w:val="en-US" w:eastAsia="zh-CN"/>
              </w:rPr>
              <w:t>项目总投资</w:t>
            </w:r>
            <w:r>
              <w:rPr>
                <w:rFonts w:hint="eastAsia" w:eastAsia="宋体" w:cs="Times New Roman"/>
                <w:color w:val="auto"/>
                <w:sz w:val="24"/>
                <w:szCs w:val="24"/>
                <w:lang w:val="en-US" w:eastAsia="zh-CN"/>
              </w:rPr>
              <w:t>22067.48</w:t>
            </w:r>
            <w:r>
              <w:rPr>
                <w:rFonts w:hint="default" w:ascii="Times New Roman" w:hAnsi="Times New Roman" w:eastAsia="宋体" w:cs="Times New Roman"/>
                <w:color w:val="auto"/>
                <w:sz w:val="24"/>
                <w:szCs w:val="24"/>
                <w:lang w:val="en-US" w:eastAsia="zh-CN"/>
              </w:rPr>
              <w:t>万元，其中环保投资</w:t>
            </w:r>
            <w:r>
              <w:rPr>
                <w:rFonts w:hint="eastAsia" w:eastAsia="宋体" w:cs="Times New Roman"/>
                <w:color w:val="auto"/>
                <w:sz w:val="24"/>
                <w:szCs w:val="24"/>
                <w:lang w:val="en-US" w:eastAsia="zh-CN"/>
              </w:rPr>
              <w:t>6489.09</w:t>
            </w:r>
            <w:r>
              <w:rPr>
                <w:rFonts w:hint="default" w:ascii="Times New Roman" w:hAnsi="Times New Roman" w:eastAsia="宋体" w:cs="Times New Roman"/>
                <w:color w:val="auto"/>
                <w:sz w:val="24"/>
                <w:szCs w:val="24"/>
                <w:lang w:val="en-US" w:eastAsia="zh-CN"/>
              </w:rPr>
              <w:t>万元。</w:t>
            </w:r>
          </w:p>
          <w:p w14:paraId="15354CB4">
            <w:pPr>
              <w:pStyle w:val="10"/>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rPr>
              <w:t>项目实际建设内容：</w:t>
            </w:r>
            <w:r>
              <w:rPr>
                <w:rFonts w:hint="default" w:ascii="Times New Roman" w:hAnsi="Times New Roman" w:eastAsia="宋体" w:cs="Times New Roman"/>
                <w:color w:val="auto"/>
                <w:sz w:val="24"/>
                <w:szCs w:val="24"/>
                <w:lang w:val="en-US" w:eastAsia="zh-CN"/>
              </w:rPr>
              <w:t>项目总投资</w:t>
            </w:r>
            <w:r>
              <w:rPr>
                <w:rFonts w:hint="eastAsia" w:eastAsia="宋体" w:cs="Times New Roman"/>
                <w:color w:val="auto"/>
                <w:sz w:val="24"/>
                <w:szCs w:val="24"/>
                <w:lang w:val="en-US" w:eastAsia="zh-CN"/>
              </w:rPr>
              <w:t>22067.48</w:t>
            </w:r>
            <w:r>
              <w:rPr>
                <w:rFonts w:hint="default" w:ascii="Times New Roman" w:hAnsi="Times New Roman" w:eastAsia="宋体" w:cs="Times New Roman"/>
                <w:color w:val="auto"/>
                <w:sz w:val="24"/>
                <w:szCs w:val="24"/>
                <w:lang w:val="en-US" w:eastAsia="zh-CN"/>
              </w:rPr>
              <w:t>万元，其中环保投资</w:t>
            </w:r>
            <w:r>
              <w:rPr>
                <w:rFonts w:hint="eastAsia" w:eastAsia="宋体" w:cs="Times New Roman"/>
                <w:color w:val="auto"/>
                <w:sz w:val="24"/>
                <w:szCs w:val="24"/>
                <w:lang w:val="en-US" w:eastAsia="zh-CN"/>
              </w:rPr>
              <w:t>6489.09</w:t>
            </w:r>
            <w:r>
              <w:rPr>
                <w:rFonts w:hint="default" w:ascii="Times New Roman" w:hAnsi="Times New Roman" w:eastAsia="宋体" w:cs="Times New Roman"/>
                <w:color w:val="auto"/>
                <w:sz w:val="24"/>
                <w:szCs w:val="24"/>
                <w:lang w:val="en-US" w:eastAsia="zh-CN"/>
              </w:rPr>
              <w:t>万元。项目位于湖北省麻城市白鸭山，</w:t>
            </w:r>
            <w:r>
              <w:rPr>
                <w:rFonts w:hint="eastAsia" w:eastAsia="宋体" w:cs="Times New Roman"/>
                <w:color w:val="auto"/>
                <w:sz w:val="24"/>
                <w:szCs w:val="24"/>
                <w:lang w:val="en-US" w:eastAsia="zh-CN"/>
              </w:rPr>
              <w:t>C8区块中心地理坐标为东经115°4’26.824”、北纬31°4’8.791”，矿区面积1.5033平方公里，开采标高为+450米至+220米，开采规模为23万立方米/年，开采矿种为饰面用花岗岩。矿山开采方式为露天开采，自上而下分台阶进行，采用圆盘锯切割、绳锯辅助分离、装载机铲装、汽车运输的开采工艺，其工程组成包括露天采场、办公生活区、矿区道路、供配电系统、供水系统及环保工程等。</w:t>
            </w:r>
          </w:p>
          <w:p w14:paraId="440E79F0">
            <w:pPr>
              <w:pStyle w:val="24"/>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2" w:firstLineChars="200"/>
              <w:jc w:val="both"/>
              <w:textAlignment w:val="auto"/>
              <w:rPr>
                <w:rFonts w:hint="default" w:ascii="Times New Roman" w:hAnsi="Times New Roman" w:cs="Times New Roman"/>
                <w:lang w:val="en-US"/>
              </w:rPr>
            </w:pPr>
            <w:r>
              <w:rPr>
                <w:rFonts w:hint="default" w:ascii="Times New Roman" w:hAnsi="Times New Roman" w:cs="Times New Roman"/>
                <w:b/>
                <w:bCs/>
                <w:lang w:val="en-US"/>
              </w:rPr>
              <w:t>本次验收为项目</w:t>
            </w:r>
            <w:r>
              <w:rPr>
                <w:rFonts w:hint="eastAsia" w:cs="Times New Roman"/>
                <w:b/>
                <w:bCs/>
                <w:lang w:val="en-US" w:eastAsia="zh-CN"/>
              </w:rPr>
              <w:t>的</w:t>
            </w:r>
            <w:r>
              <w:rPr>
                <w:rFonts w:hint="default" w:ascii="Times New Roman" w:hAnsi="Times New Roman" w:cs="Times New Roman"/>
                <w:b/>
                <w:bCs/>
                <w:lang w:val="en-US"/>
              </w:rPr>
              <w:t>分期竣工环境保护验收，</w:t>
            </w:r>
            <w:r>
              <w:rPr>
                <w:rFonts w:hint="default" w:ascii="Times New Roman" w:hAnsi="Times New Roman" w:eastAsia="宋体" w:cs="Times New Roman"/>
                <w:b/>
                <w:bCs/>
                <w:color w:val="auto"/>
                <w:kern w:val="2"/>
                <w:sz w:val="24"/>
                <w:szCs w:val="24"/>
                <w:lang w:val="en-US" w:eastAsia="zh-CN" w:bidi="ar-SA"/>
              </w:rPr>
              <w:t>验收内容</w:t>
            </w:r>
            <w:r>
              <w:rPr>
                <w:rFonts w:hint="eastAsia" w:cs="Times New Roman"/>
                <w:b/>
                <w:bCs/>
                <w:color w:val="auto"/>
                <w:kern w:val="2"/>
                <w:sz w:val="24"/>
                <w:szCs w:val="24"/>
                <w:lang w:val="en-US" w:eastAsia="zh-CN" w:bidi="ar-SA"/>
              </w:rPr>
              <w:t>是</w:t>
            </w:r>
            <w:r>
              <w:rPr>
                <w:rFonts w:hint="eastAsia" w:ascii="Times New Roman" w:hAnsi="Times New Roman" w:eastAsia="宋体" w:cs="Times New Roman"/>
                <w:b/>
                <w:bCs/>
                <w:color w:val="auto"/>
                <w:kern w:val="2"/>
                <w:sz w:val="24"/>
                <w:szCs w:val="24"/>
                <w:lang w:val="en-US" w:eastAsia="zh-CN" w:bidi="ar-SA"/>
              </w:rPr>
              <w:t>重新剥离表土后形成新的开采平台C8-2及环保设施。</w:t>
            </w:r>
          </w:p>
          <w:p w14:paraId="7D5552B7">
            <w:pPr>
              <w:pStyle w:val="24"/>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sz w:val="24"/>
              </w:rPr>
            </w:pPr>
            <w:r>
              <w:rPr>
                <w:rFonts w:hint="default" w:ascii="Times New Roman" w:hAnsi="Times New Roman" w:cs="Times New Roman"/>
                <w:lang w:val="en-US"/>
              </w:rPr>
              <w:t>根据《建设项目环境保护管理条例》、《建设项目竣工环境保护验收技术规范</w:t>
            </w:r>
            <w:r>
              <w:rPr>
                <w:rFonts w:hint="default" w:ascii="Times New Roman" w:hAnsi="Times New Roman" w:cs="Times New Roman"/>
                <w:lang w:val="en-US" w:eastAsia="zh-CN"/>
              </w:rPr>
              <w:t xml:space="preserve">  </w:t>
            </w:r>
            <w:r>
              <w:rPr>
                <w:rFonts w:hint="default" w:ascii="Times New Roman" w:hAnsi="Times New Roman" w:cs="Times New Roman"/>
                <w:lang w:val="en-US"/>
              </w:rPr>
              <w:t>生态影响类》（</w:t>
            </w:r>
            <w:r>
              <w:rPr>
                <w:rFonts w:hint="default" w:ascii="Times New Roman" w:hAnsi="Times New Roman" w:cs="Times New Roman"/>
                <w:lang w:val="en-US" w:eastAsia="zh-CN"/>
              </w:rPr>
              <w:t>HJ/T 394-2007</w:t>
            </w:r>
            <w:r>
              <w:rPr>
                <w:rFonts w:hint="default" w:ascii="Times New Roman" w:hAnsi="Times New Roman" w:cs="Times New Roman"/>
                <w:lang w:val="en-US"/>
              </w:rPr>
              <w:t>）</w:t>
            </w:r>
            <w:r>
              <w:rPr>
                <w:rFonts w:hint="default" w:ascii="Times New Roman" w:hAnsi="Times New Roman" w:cs="Times New Roman"/>
                <w:lang w:val="en-US" w:eastAsia="zh-CN"/>
              </w:rPr>
              <w:t>、《建设项目竣工环境保护验收暂行办法》（国环规环评</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2017</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4号）等文件</w:t>
            </w:r>
            <w:r>
              <w:rPr>
                <w:rFonts w:hint="default" w:ascii="Times New Roman" w:hAnsi="Times New Roman" w:cs="Times New Roman"/>
                <w:lang w:val="en-US"/>
              </w:rPr>
              <w:t>的规定，</w:t>
            </w:r>
            <w:r>
              <w:rPr>
                <w:rFonts w:hint="default" w:ascii="Times New Roman" w:hAnsi="Times New Roman" w:cs="Times New Roman"/>
                <w:lang w:val="en-US" w:eastAsia="zh-CN"/>
              </w:rPr>
              <w:t>项目已建成试运行中，可</w:t>
            </w:r>
            <w:r>
              <w:rPr>
                <w:rFonts w:hint="default" w:ascii="Times New Roman" w:hAnsi="Times New Roman" w:cs="Times New Roman"/>
                <w:lang w:val="en-US"/>
              </w:rPr>
              <w:t>达到相应的验收工况要求，现对项目进行环保自查并组建自主验收工作组进行验收工作</w:t>
            </w:r>
            <w:r>
              <w:rPr>
                <w:rFonts w:hint="default" w:ascii="Times New Roman" w:hAnsi="Times New Roman" w:cs="Times New Roman"/>
                <w:color w:val="000000"/>
                <w:lang w:val="en-US"/>
              </w:rPr>
              <w:t>。</w:t>
            </w:r>
            <w:r>
              <w:rPr>
                <w:rFonts w:hint="default" w:ascii="Times New Roman" w:hAnsi="Times New Roman" w:cs="Times New Roman"/>
                <w:color w:val="000000"/>
                <w:lang w:val="en-US" w:eastAsia="zh-CN"/>
              </w:rPr>
              <w:t>本次验收调查</w:t>
            </w:r>
            <w:r>
              <w:rPr>
                <w:rFonts w:hint="default" w:ascii="Times New Roman" w:hAnsi="Times New Roman" w:cs="Times New Roman"/>
                <w:color w:val="000000"/>
                <w:lang w:val="en-US"/>
              </w:rPr>
              <w:t>主要工作内容包括：</w:t>
            </w:r>
            <w:r>
              <w:rPr>
                <w:rFonts w:hint="default" w:ascii="Times New Roman" w:hAnsi="Times New Roman" w:cs="Times New Roman"/>
                <w:color w:val="000000"/>
                <w:lang w:val="en-US" w:eastAsia="zh-CN"/>
              </w:rPr>
              <w:t>调查“</w:t>
            </w:r>
            <w:r>
              <w:rPr>
                <w:rFonts w:hint="default" w:ascii="Times New Roman" w:hAnsi="Times New Roman" w:cs="Times New Roman"/>
                <w:color w:val="000000"/>
                <w:lang w:val="en-US"/>
              </w:rPr>
              <w:t>三同时”制度的执行情况；调查项目工程在</w:t>
            </w:r>
            <w:r>
              <w:rPr>
                <w:rFonts w:hint="default" w:ascii="Times New Roman" w:hAnsi="Times New Roman" w:cs="Times New Roman"/>
                <w:color w:val="000000"/>
                <w:lang w:val="en-US" w:eastAsia="zh-CN"/>
              </w:rPr>
              <w:t>施工期、</w:t>
            </w:r>
            <w:r>
              <w:rPr>
                <w:rFonts w:hint="default" w:ascii="Times New Roman" w:hAnsi="Times New Roman" w:cs="Times New Roman"/>
                <w:color w:val="000000"/>
                <w:lang w:val="en-US"/>
              </w:rPr>
              <w:t>试运营期间对环境影响报告表所提出的环保措施、设施的落实情况；调查分析工程在</w:t>
            </w:r>
            <w:r>
              <w:rPr>
                <w:rFonts w:hint="default" w:ascii="Times New Roman" w:hAnsi="Times New Roman" w:cs="Times New Roman"/>
                <w:color w:val="000000"/>
                <w:lang w:val="en-US" w:eastAsia="zh-CN"/>
              </w:rPr>
              <w:t>施工期、</w:t>
            </w:r>
            <w:r>
              <w:rPr>
                <w:rFonts w:hint="default" w:ascii="Times New Roman" w:hAnsi="Times New Roman" w:cs="Times New Roman"/>
                <w:color w:val="000000"/>
                <w:lang w:val="en-US"/>
              </w:rPr>
              <w:t>试</w:t>
            </w:r>
            <w:r>
              <w:rPr>
                <w:rFonts w:hint="default" w:ascii="Times New Roman" w:hAnsi="Times New Roman" w:cs="Times New Roman"/>
                <w:color w:val="000000"/>
                <w:lang w:val="en-US" w:eastAsia="zh-CN"/>
              </w:rPr>
              <w:t>运营期</w:t>
            </w:r>
            <w:r>
              <w:rPr>
                <w:rFonts w:hint="default" w:ascii="Times New Roman" w:hAnsi="Times New Roman" w:cs="Times New Roman"/>
                <w:color w:val="000000"/>
                <w:lang w:val="en-US"/>
              </w:rPr>
              <w:t>间对环境造成的影响以及可能存在的潜在影响，提出补救和减缓措施；监测项目工程主要污染物的排放是否符合国家允许的标准限值；检查环境管理情况（包括环保机构设置以及各项规章制度的落实）是否符合要求等，为工程的竣工环境保护验收提供依据。</w:t>
            </w:r>
          </w:p>
        </w:tc>
      </w:tr>
      <w:tr w14:paraId="0E20A9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2" w:type="pct"/>
            <w:tcBorders>
              <w:tl2br w:val="nil"/>
              <w:tr2bl w:val="nil"/>
            </w:tcBorders>
            <w:noWrap w:val="0"/>
            <w:vAlign w:val="center"/>
          </w:tcPr>
          <w:p w14:paraId="62ACFC8D">
            <w:pPr>
              <w:pStyle w:val="23"/>
              <w:keepNext w:val="0"/>
              <w:keepLines w:val="0"/>
              <w:pageBreakBefore w:val="0"/>
              <w:widowControl w:val="0"/>
              <w:kinsoku/>
              <w:wordWrap/>
              <w:overflowPunct/>
              <w:topLinePunct w:val="0"/>
              <w:bidi w:val="0"/>
              <w:adjustRightInd w:val="0"/>
              <w:snapToGrid w:val="0"/>
              <w:spacing w:line="360" w:lineRule="auto"/>
              <w:ind w:left="0" w:leftChars="0"/>
              <w:jc w:val="center"/>
              <w:textAlignment w:val="auto"/>
              <w:rPr>
                <w:rFonts w:hint="default" w:ascii="Times New Roman" w:hAnsi="Times New Roman" w:cs="Times New Roman"/>
                <w:sz w:val="24"/>
              </w:rPr>
            </w:pPr>
            <w:r>
              <w:rPr>
                <w:rFonts w:hint="default" w:ascii="Times New Roman" w:hAnsi="Times New Roman" w:cs="Times New Roman"/>
                <w:sz w:val="24"/>
              </w:rPr>
              <w:t>验收依据</w:t>
            </w:r>
          </w:p>
        </w:tc>
        <w:tc>
          <w:tcPr>
            <w:tcW w:w="4177" w:type="pct"/>
            <w:gridSpan w:val="15"/>
            <w:tcBorders>
              <w:tl2br w:val="nil"/>
              <w:tr2bl w:val="nil"/>
            </w:tcBorders>
            <w:noWrap w:val="0"/>
            <w:vAlign w:val="center"/>
          </w:tcPr>
          <w:p w14:paraId="1E0D0F4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（1）《建设项目环境保护管理条例》（国务院第682号令，2017年10月）；</w:t>
            </w:r>
          </w:p>
          <w:p w14:paraId="6882309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（2）《关于印发建设项目竣工环境保护验收现场检查及审查要点的通知》（环办〔2015〕113号）；</w:t>
            </w:r>
          </w:p>
          <w:p w14:paraId="76B6922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（3）《建设项目竣工环境保护验收暂行办法》（国环规环评〔2017〕4号）；</w:t>
            </w:r>
          </w:p>
          <w:p w14:paraId="0CF22B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default" w:ascii="Times New Roman" w:hAnsi="Times New Roman" w:cs="Times New Roman"/>
                <w:sz w:val="24"/>
                <w:szCs w:val="24"/>
                <w:lang w:eastAsia="zh-CN"/>
              </w:rPr>
              <w:t>《</w:t>
            </w:r>
            <w:r>
              <w:rPr>
                <w:rFonts w:hint="default" w:ascii="Times New Roman" w:hAnsi="Times New Roman" w:cs="Times New Roman"/>
                <w:sz w:val="24"/>
                <w:szCs w:val="24"/>
              </w:rPr>
              <w:t>建设项目竣工环境保护验收技术规范</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生态影响类</w:t>
            </w:r>
            <w:r>
              <w:rPr>
                <w:rFonts w:hint="default" w:ascii="Times New Roman" w:hAnsi="Times New Roman" w:cs="Times New Roman"/>
                <w:sz w:val="24"/>
                <w:szCs w:val="24"/>
                <w:lang w:eastAsia="zh-CN"/>
              </w:rPr>
              <w:t>》</w:t>
            </w:r>
            <w:r>
              <w:rPr>
                <w:rFonts w:hint="default" w:ascii="Times New Roman" w:hAnsi="Times New Roman" w:cs="Times New Roman"/>
                <w:sz w:val="24"/>
                <w:szCs w:val="24"/>
              </w:rPr>
              <w:t>（</w:t>
            </w:r>
            <w:r>
              <w:rPr>
                <w:rFonts w:hint="default" w:ascii="Times New Roman" w:hAnsi="Times New Roman" w:cs="Times New Roman"/>
                <w:sz w:val="24"/>
                <w:szCs w:val="24"/>
                <w:lang w:eastAsia="zh-CN"/>
              </w:rPr>
              <w:t>HJ/T 394-2007</w:t>
            </w:r>
            <w:r>
              <w:rPr>
                <w:rFonts w:hint="default" w:ascii="Times New Roman" w:hAnsi="Times New Roman" w:cs="Times New Roman"/>
                <w:sz w:val="24"/>
                <w:szCs w:val="24"/>
              </w:rPr>
              <w:t>）；</w:t>
            </w:r>
          </w:p>
          <w:p w14:paraId="263F295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lang w:eastAsia="zh-CN"/>
              </w:rPr>
              <w:t>）《</w:t>
            </w:r>
            <w:r>
              <w:rPr>
                <w:rFonts w:hint="default" w:ascii="Times New Roman" w:hAnsi="Times New Roman" w:cs="Times New Roman"/>
                <w:sz w:val="24"/>
                <w:szCs w:val="24"/>
              </w:rPr>
              <w:t>关于进一步做好建设项目环境保护</w:t>
            </w:r>
            <w:r>
              <w:rPr>
                <w:rFonts w:hint="default" w:ascii="Times New Roman" w:hAnsi="Times New Roman" w:cs="Times New Roman"/>
                <w:sz w:val="24"/>
                <w:szCs w:val="24"/>
                <w:lang w:eastAsia="zh-CN"/>
              </w:rPr>
              <w:t>“</w:t>
            </w:r>
            <w:r>
              <w:rPr>
                <w:rFonts w:hint="default" w:ascii="Times New Roman" w:hAnsi="Times New Roman" w:cs="Times New Roman"/>
                <w:sz w:val="24"/>
                <w:szCs w:val="24"/>
              </w:rPr>
              <w:t>三同时”及自主验收监督检查工作的通知</w:t>
            </w:r>
            <w:r>
              <w:rPr>
                <w:rFonts w:hint="default" w:ascii="Times New Roman" w:hAnsi="Times New Roman" w:cs="Times New Roman"/>
                <w:sz w:val="24"/>
                <w:szCs w:val="24"/>
                <w:lang w:eastAsia="zh-CN"/>
              </w:rPr>
              <w:t>》</w:t>
            </w:r>
            <w:r>
              <w:rPr>
                <w:rFonts w:hint="default" w:ascii="Times New Roman" w:hAnsi="Times New Roman" w:cs="Times New Roman"/>
                <w:sz w:val="24"/>
                <w:szCs w:val="24"/>
              </w:rPr>
              <w:t>（环办执法〔</w:t>
            </w:r>
            <w:r>
              <w:rPr>
                <w:rFonts w:hint="default" w:ascii="Times New Roman" w:hAnsi="Times New Roman" w:cs="Times New Roman"/>
                <w:sz w:val="24"/>
                <w:szCs w:val="24"/>
                <w:lang w:val="en-US" w:eastAsia="zh-CN"/>
              </w:rPr>
              <w:t>2021</w:t>
            </w:r>
            <w:r>
              <w:rPr>
                <w:rFonts w:hint="default" w:ascii="Times New Roman" w:hAnsi="Times New Roman" w:cs="Times New Roman"/>
                <w:sz w:val="24"/>
                <w:szCs w:val="24"/>
              </w:rPr>
              <w:t>〕11号）</w:t>
            </w:r>
            <w:r>
              <w:rPr>
                <w:rFonts w:hint="default" w:ascii="Times New Roman" w:hAnsi="Times New Roman" w:cs="Times New Roman"/>
                <w:sz w:val="24"/>
                <w:szCs w:val="24"/>
                <w:lang w:eastAsia="zh-CN"/>
              </w:rPr>
              <w:t>；</w:t>
            </w:r>
          </w:p>
          <w:p w14:paraId="268EAA2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w:t>
            </w:r>
            <w:r>
              <w:rPr>
                <w:rFonts w:hint="eastAsia" w:cs="Times New Roman"/>
                <w:color w:val="auto"/>
                <w:sz w:val="24"/>
                <w:szCs w:val="24"/>
                <w:lang w:eastAsia="zh-CN"/>
              </w:rPr>
              <w:t>湖北省嘉丰泰华矿业有限公司白鸭山矿区C8区块饰面用花岗岩矿开采项目</w:t>
            </w:r>
            <w:r>
              <w:rPr>
                <w:rFonts w:hint="default" w:ascii="Times New Roman" w:hAnsi="Times New Roman" w:cs="Times New Roman"/>
                <w:color w:val="auto"/>
                <w:sz w:val="24"/>
                <w:szCs w:val="24"/>
                <w:lang w:eastAsia="zh-CN"/>
              </w:rPr>
              <w:t>环境影响报告表</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（湖北黄达环保技术咨询有限公司</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202</w:t>
            </w:r>
            <w:r>
              <w:rPr>
                <w:rFonts w:hint="eastAsia" w:cs="Times New Roman"/>
                <w:color w:val="auto"/>
                <w:sz w:val="24"/>
                <w:szCs w:val="24"/>
                <w:lang w:val="en-US" w:eastAsia="zh-CN"/>
              </w:rPr>
              <w:t>4</w:t>
            </w:r>
            <w:r>
              <w:rPr>
                <w:rFonts w:hint="default" w:ascii="Times New Roman" w:hAnsi="Times New Roman" w:cs="Times New Roman"/>
                <w:color w:val="auto"/>
                <w:sz w:val="24"/>
                <w:szCs w:val="24"/>
              </w:rPr>
              <w:t>年</w:t>
            </w:r>
            <w:r>
              <w:rPr>
                <w:rFonts w:hint="eastAsia" w:cs="Times New Roman"/>
                <w:color w:val="auto"/>
                <w:sz w:val="24"/>
                <w:szCs w:val="24"/>
                <w:lang w:val="en-US" w:eastAsia="zh-CN"/>
              </w:rPr>
              <w:t>4</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p>
          <w:p w14:paraId="4214BC9B">
            <w:pPr>
              <w:keepNext w:val="0"/>
              <w:keepLines w:val="0"/>
              <w:pageBreakBefore w:val="0"/>
              <w:widowControl w:val="0"/>
              <w:kinsoku/>
              <w:wordWrap/>
              <w:overflowPunct/>
              <w:topLinePunct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）关于湖北省嘉丰泰华矿业有限公司白鸭山矿区C8区块饰面用花岗岩矿开采项目环境影响报告表的批复（以</w:t>
            </w:r>
            <w:r>
              <w:rPr>
                <w:rFonts w:hint="eastAsia" w:cs="Times New Roman"/>
                <w:color w:val="auto"/>
                <w:sz w:val="24"/>
                <w:szCs w:val="24"/>
                <w:lang w:eastAsia="zh-CN"/>
              </w:rPr>
              <w:t>麻环审〔202</w:t>
            </w:r>
            <w:r>
              <w:rPr>
                <w:rFonts w:hint="eastAsia" w:cs="Times New Roman"/>
                <w:color w:val="auto"/>
                <w:sz w:val="24"/>
                <w:szCs w:val="24"/>
                <w:lang w:val="en-US" w:eastAsia="zh-CN"/>
              </w:rPr>
              <w:t>4</w:t>
            </w:r>
            <w:r>
              <w:rPr>
                <w:rFonts w:hint="eastAsia" w:cs="Times New Roman"/>
                <w:color w:val="auto"/>
                <w:sz w:val="24"/>
                <w:szCs w:val="24"/>
                <w:lang w:eastAsia="zh-CN"/>
              </w:rPr>
              <w:t>〕</w:t>
            </w:r>
            <w:r>
              <w:rPr>
                <w:rFonts w:hint="eastAsia" w:cs="Times New Roman"/>
                <w:color w:val="auto"/>
                <w:sz w:val="24"/>
                <w:szCs w:val="24"/>
                <w:lang w:val="en-US" w:eastAsia="zh-CN"/>
              </w:rPr>
              <w:t>20</w:t>
            </w:r>
            <w:r>
              <w:rPr>
                <w:rFonts w:hint="eastAsia" w:cs="Times New Roman"/>
                <w:color w:val="auto"/>
                <w:sz w:val="24"/>
                <w:szCs w:val="24"/>
                <w:lang w:eastAsia="zh-CN"/>
              </w:rPr>
              <w:t>号</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202</w:t>
            </w:r>
            <w:r>
              <w:rPr>
                <w:rFonts w:hint="eastAsia" w:cs="Times New Roman"/>
                <w:color w:val="auto"/>
                <w:sz w:val="24"/>
                <w:szCs w:val="24"/>
                <w:lang w:val="en-US" w:eastAsia="zh-CN"/>
              </w:rPr>
              <w:t>4</w:t>
            </w:r>
            <w:r>
              <w:rPr>
                <w:rFonts w:hint="default" w:ascii="Times New Roman" w:hAnsi="Times New Roman" w:cs="Times New Roman"/>
                <w:color w:val="auto"/>
                <w:sz w:val="24"/>
                <w:szCs w:val="24"/>
              </w:rPr>
              <w:t>年</w:t>
            </w:r>
            <w:r>
              <w:rPr>
                <w:rFonts w:hint="eastAsia" w:cs="Times New Roman"/>
                <w:color w:val="auto"/>
                <w:sz w:val="24"/>
                <w:szCs w:val="24"/>
                <w:lang w:val="en-US" w:eastAsia="zh-CN"/>
              </w:rPr>
              <w:t>5</w:t>
            </w:r>
            <w:r>
              <w:rPr>
                <w:rFonts w:hint="default" w:ascii="Times New Roman" w:hAnsi="Times New Roman" w:cs="Times New Roman"/>
                <w:color w:val="auto"/>
                <w:sz w:val="24"/>
                <w:szCs w:val="24"/>
              </w:rPr>
              <w:t>月</w:t>
            </w:r>
            <w:r>
              <w:rPr>
                <w:rFonts w:hint="eastAsia" w:cs="Times New Roman"/>
                <w:color w:val="auto"/>
                <w:sz w:val="24"/>
                <w:szCs w:val="24"/>
                <w:lang w:val="en-US" w:eastAsia="zh-CN"/>
              </w:rPr>
              <w:t>20</w:t>
            </w:r>
            <w:r>
              <w:rPr>
                <w:rFonts w:hint="default" w:ascii="Times New Roman" w:hAnsi="Times New Roman" w:cs="Times New Roman"/>
                <w:color w:val="auto"/>
                <w:sz w:val="24"/>
                <w:szCs w:val="24"/>
                <w:lang w:val="en-US" w:eastAsia="zh-CN"/>
              </w:rPr>
              <w:t>日；</w:t>
            </w:r>
          </w:p>
          <w:p w14:paraId="28C6315E">
            <w:pPr>
              <w:keepNext w:val="0"/>
              <w:keepLines w:val="0"/>
              <w:pageBreakBefore w:val="0"/>
              <w:widowControl w:val="0"/>
              <w:kinsoku/>
              <w:wordWrap/>
              <w:overflowPunct/>
              <w:topLinePunct w:val="0"/>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w:t>
            </w:r>
            <w:r>
              <w:rPr>
                <w:rFonts w:hint="default" w:ascii="Times New Roman" w:hAnsi="Times New Roman" w:cs="Times New Roman"/>
                <w:color w:val="auto"/>
                <w:sz w:val="24"/>
                <w:szCs w:val="24"/>
                <w:lang w:val="en-US" w:eastAsia="zh-CN"/>
              </w:rPr>
              <w:t>8）《</w:t>
            </w:r>
            <w:r>
              <w:rPr>
                <w:rFonts w:hint="eastAsia" w:cs="Times New Roman"/>
                <w:color w:val="auto"/>
                <w:sz w:val="24"/>
                <w:szCs w:val="24"/>
                <w:lang w:eastAsia="zh-CN"/>
              </w:rPr>
              <w:t>湖北省嘉丰泰华矿业有限公司</w:t>
            </w:r>
            <w:r>
              <w:rPr>
                <w:rFonts w:hint="eastAsia" w:ascii="Times New Roman" w:hAnsi="Times New Roman" w:eastAsia="宋体" w:cs="Times New Roman"/>
                <w:color w:val="auto"/>
                <w:sz w:val="24"/>
                <w:szCs w:val="24"/>
                <w:lang w:eastAsia="zh-CN"/>
              </w:rPr>
              <w:t>固定污染源排污登记回执</w:t>
            </w:r>
            <w:r>
              <w:rPr>
                <w:rFonts w:hint="default" w:ascii="Times New Roman" w:hAnsi="Times New Roman" w:eastAsia="宋体" w:cs="Times New Roman"/>
                <w:color w:val="auto"/>
                <w:sz w:val="24"/>
                <w:szCs w:val="24"/>
                <w:lang w:val="en-US" w:eastAsia="zh-CN"/>
              </w:rPr>
              <w:t>）（编号：</w:t>
            </w:r>
            <w:r>
              <w:rPr>
                <w:rFonts w:hint="eastAsia" w:cs="Times New Roman"/>
                <w:color w:val="auto"/>
                <w:sz w:val="24"/>
                <w:szCs w:val="24"/>
                <w:lang w:val="en-US" w:eastAsia="zh-CN"/>
              </w:rPr>
              <w:t>91421181MAC4Y0RH9X001W</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日。</w:t>
            </w:r>
          </w:p>
          <w:p w14:paraId="15DE56C7">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jc w:val="both"/>
              <w:textAlignment w:val="auto"/>
              <w:rPr>
                <w:rFonts w:hint="eastAsia" w:ascii="Times New Roman" w:hAnsi="Times New Roman" w:eastAsia="宋体" w:cs="Times New Roman"/>
                <w:sz w:val="24"/>
                <w:szCs w:val="24"/>
                <w:lang w:val="en-US" w:eastAsia="zh-CN"/>
              </w:rPr>
            </w:pPr>
          </w:p>
          <w:p w14:paraId="06723B5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jc w:val="both"/>
              <w:textAlignment w:val="auto"/>
              <w:rPr>
                <w:rFonts w:hint="eastAsia" w:ascii="Times New Roman" w:hAnsi="Times New Roman" w:eastAsia="宋体" w:cs="Times New Roman"/>
                <w:sz w:val="24"/>
                <w:szCs w:val="24"/>
                <w:lang w:val="en-US" w:eastAsia="zh-CN"/>
              </w:rPr>
            </w:pPr>
          </w:p>
          <w:p w14:paraId="706342F0">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jc w:val="both"/>
              <w:textAlignment w:val="auto"/>
              <w:rPr>
                <w:rFonts w:hint="eastAsia" w:ascii="Times New Roman" w:hAnsi="Times New Roman" w:eastAsia="宋体" w:cs="Times New Roman"/>
                <w:sz w:val="24"/>
                <w:szCs w:val="24"/>
                <w:lang w:val="en-US" w:eastAsia="zh-CN"/>
              </w:rPr>
            </w:pPr>
          </w:p>
          <w:p w14:paraId="2E143FD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jc w:val="both"/>
              <w:textAlignment w:val="auto"/>
              <w:rPr>
                <w:rFonts w:hint="eastAsia" w:ascii="Times New Roman" w:hAnsi="Times New Roman" w:eastAsia="宋体" w:cs="Times New Roman"/>
                <w:sz w:val="24"/>
                <w:szCs w:val="24"/>
                <w:lang w:val="en-US" w:eastAsia="zh-CN"/>
              </w:rPr>
            </w:pPr>
          </w:p>
          <w:p w14:paraId="4BA1927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jc w:val="both"/>
              <w:textAlignment w:val="auto"/>
              <w:rPr>
                <w:rFonts w:hint="eastAsia" w:ascii="Times New Roman" w:hAnsi="Times New Roman" w:eastAsia="宋体" w:cs="Times New Roman"/>
                <w:sz w:val="24"/>
                <w:szCs w:val="24"/>
                <w:lang w:val="en-US" w:eastAsia="zh-CN"/>
              </w:rPr>
            </w:pPr>
          </w:p>
          <w:p w14:paraId="691F5397">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jc w:val="both"/>
              <w:textAlignment w:val="auto"/>
              <w:rPr>
                <w:rFonts w:hint="eastAsia" w:ascii="Times New Roman" w:hAnsi="Times New Roman" w:eastAsia="宋体" w:cs="Times New Roman"/>
                <w:sz w:val="24"/>
                <w:szCs w:val="24"/>
                <w:lang w:val="en-US" w:eastAsia="zh-CN"/>
              </w:rPr>
            </w:pPr>
          </w:p>
          <w:p w14:paraId="59D87A5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jc w:val="both"/>
              <w:textAlignment w:val="auto"/>
              <w:rPr>
                <w:rFonts w:hint="eastAsia" w:ascii="Times New Roman" w:hAnsi="Times New Roman" w:eastAsia="宋体" w:cs="Times New Roman"/>
                <w:sz w:val="24"/>
                <w:szCs w:val="24"/>
                <w:lang w:val="en-US" w:eastAsia="zh-CN"/>
              </w:rPr>
            </w:pPr>
          </w:p>
          <w:p w14:paraId="73F76DF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jc w:val="both"/>
              <w:textAlignment w:val="auto"/>
              <w:rPr>
                <w:rFonts w:hint="eastAsia" w:ascii="Times New Roman" w:hAnsi="Times New Roman" w:eastAsia="宋体" w:cs="Times New Roman"/>
                <w:sz w:val="24"/>
                <w:szCs w:val="24"/>
                <w:lang w:val="en-US" w:eastAsia="zh-CN"/>
              </w:rPr>
            </w:pPr>
          </w:p>
        </w:tc>
      </w:tr>
    </w:tbl>
    <w:p w14:paraId="7DFDB805">
      <w:pPr>
        <w:spacing w:line="470" w:lineRule="atLeast"/>
        <w:rPr>
          <w:rFonts w:hint="default" w:ascii="Times New Roman" w:hAnsi="Times New Roman" w:cs="Times New Roman"/>
          <w:sz w:val="24"/>
        </w:rPr>
        <w:sectPr>
          <w:headerReference r:id="rId11" w:type="default"/>
          <w:footerReference r:id="rId12" w:type="default"/>
          <w:pgSz w:w="11911" w:h="16838"/>
          <w:pgMar w:top="1440" w:right="1361" w:bottom="1440" w:left="1361" w:header="964" w:footer="918" w:gutter="0"/>
          <w:pgBorders>
            <w:top w:val="none" w:sz="0" w:space="0"/>
            <w:left w:val="none" w:sz="0" w:space="0"/>
            <w:bottom w:val="none" w:sz="0" w:space="0"/>
            <w:right w:val="none" w:sz="0" w:space="0"/>
          </w:pgBorders>
          <w:pgNumType w:fmt="decimal" w:start="1"/>
          <w:cols w:space="720" w:num="1"/>
          <w:rtlGutter w:val="0"/>
          <w:docGrid w:linePitch="0" w:charSpace="0"/>
        </w:sectPr>
      </w:pPr>
    </w:p>
    <w:p w14:paraId="46290161">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kern w:val="0"/>
          <w:sz w:val="32"/>
          <w:szCs w:val="56"/>
          <w:lang w:val="en-US" w:bidi="ar-SA"/>
        </w:rPr>
      </w:pPr>
      <w:bookmarkStart w:id="5" w:name="表2_调查范围、因子、目标、重点"/>
      <w:bookmarkEnd w:id="5"/>
      <w:bookmarkStart w:id="6" w:name="_Toc29599"/>
      <w:bookmarkStart w:id="7" w:name="_Toc11920"/>
      <w:r>
        <w:rPr>
          <w:rFonts w:hint="default" w:ascii="Times New Roman" w:hAnsi="Times New Roman" w:eastAsia="宋体" w:cs="Times New Roman"/>
          <w:b/>
          <w:bCs/>
          <w:kern w:val="0"/>
          <w:sz w:val="32"/>
          <w:szCs w:val="56"/>
          <w:lang w:val="en-US" w:bidi="ar-SA"/>
        </w:rPr>
        <w:t>表2</w:t>
      </w:r>
      <w:r>
        <w:rPr>
          <w:rFonts w:hint="default" w:ascii="Times New Roman" w:hAnsi="Times New Roman" w:eastAsia="宋体" w:cs="Times New Roman"/>
          <w:b/>
          <w:bCs/>
          <w:kern w:val="0"/>
          <w:sz w:val="32"/>
          <w:szCs w:val="56"/>
          <w:lang w:val="en-US" w:eastAsia="zh-CN" w:bidi="ar-SA"/>
        </w:rPr>
        <w:t xml:space="preserve">  </w:t>
      </w:r>
      <w:r>
        <w:rPr>
          <w:rFonts w:hint="default" w:ascii="Times New Roman" w:hAnsi="Times New Roman" w:eastAsia="宋体" w:cs="Times New Roman"/>
          <w:b/>
          <w:bCs/>
          <w:kern w:val="0"/>
          <w:sz w:val="32"/>
          <w:szCs w:val="56"/>
          <w:lang w:val="en-US" w:bidi="ar-SA"/>
        </w:rPr>
        <w:t>调查范围、因子、目标、重点</w:t>
      </w:r>
      <w:bookmarkEnd w:id="6"/>
      <w:bookmarkEnd w:id="7"/>
    </w:p>
    <w:tbl>
      <w:tblPr>
        <w:tblStyle w:val="17"/>
        <w:tblW w:w="5262"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781"/>
        <w:gridCol w:w="8911"/>
      </w:tblGrid>
      <w:tr w14:paraId="52B1FD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tcBorders>
              <w:tl2br w:val="nil"/>
              <w:tr2bl w:val="nil"/>
            </w:tcBorders>
            <w:noWrap w:val="0"/>
            <w:vAlign w:val="center"/>
          </w:tcPr>
          <w:p w14:paraId="6AE350F8">
            <w:pPr>
              <w:pStyle w:val="23"/>
              <w:spacing w:line="360" w:lineRule="auto"/>
              <w:jc w:val="center"/>
              <w:rPr>
                <w:rFonts w:hint="default" w:ascii="Times New Roman" w:hAnsi="Times New Roman" w:eastAsia="宋体" w:cs="Times New Roman"/>
                <w:sz w:val="28"/>
              </w:rPr>
            </w:pPr>
            <w:r>
              <w:rPr>
                <w:rFonts w:hint="default" w:ascii="Times New Roman" w:hAnsi="Times New Roman" w:eastAsia="宋体" w:cs="Times New Roman"/>
                <w:sz w:val="28"/>
              </w:rPr>
              <w:t>调</w:t>
            </w:r>
          </w:p>
          <w:p w14:paraId="309DF493">
            <w:pPr>
              <w:pStyle w:val="23"/>
              <w:spacing w:line="360" w:lineRule="auto"/>
              <w:jc w:val="center"/>
              <w:rPr>
                <w:rFonts w:hint="default" w:ascii="Times New Roman" w:hAnsi="Times New Roman" w:eastAsia="宋体" w:cs="Times New Roman"/>
                <w:sz w:val="28"/>
              </w:rPr>
            </w:pPr>
            <w:r>
              <w:rPr>
                <w:rFonts w:hint="default" w:ascii="Times New Roman" w:hAnsi="Times New Roman" w:eastAsia="宋体" w:cs="Times New Roman"/>
                <w:sz w:val="28"/>
              </w:rPr>
              <w:t>查</w:t>
            </w:r>
          </w:p>
          <w:p w14:paraId="2DCEDBE4">
            <w:pPr>
              <w:pStyle w:val="23"/>
              <w:spacing w:line="360" w:lineRule="auto"/>
              <w:jc w:val="center"/>
              <w:rPr>
                <w:rFonts w:hint="default" w:ascii="Times New Roman" w:hAnsi="Times New Roman" w:eastAsia="宋体" w:cs="Times New Roman"/>
                <w:sz w:val="28"/>
              </w:rPr>
            </w:pPr>
            <w:r>
              <w:rPr>
                <w:rFonts w:hint="default" w:ascii="Times New Roman" w:hAnsi="Times New Roman" w:eastAsia="宋体" w:cs="Times New Roman"/>
                <w:sz w:val="28"/>
              </w:rPr>
              <w:t>范</w:t>
            </w:r>
          </w:p>
          <w:p w14:paraId="0E068EEB">
            <w:pPr>
              <w:pStyle w:val="23"/>
              <w:spacing w:line="360" w:lineRule="auto"/>
              <w:jc w:val="center"/>
              <w:rPr>
                <w:rFonts w:hint="default" w:ascii="Times New Roman" w:hAnsi="Times New Roman" w:cs="Times New Roman"/>
                <w:sz w:val="28"/>
              </w:rPr>
            </w:pPr>
            <w:r>
              <w:rPr>
                <w:rFonts w:hint="default" w:ascii="Times New Roman" w:hAnsi="Times New Roman" w:eastAsia="宋体" w:cs="Times New Roman"/>
                <w:sz w:val="28"/>
              </w:rPr>
              <w:t>围</w:t>
            </w:r>
          </w:p>
        </w:tc>
        <w:tc>
          <w:tcPr>
            <w:tcW w:w="4596" w:type="pct"/>
            <w:tcBorders>
              <w:tl2br w:val="nil"/>
              <w:tr2bl w:val="nil"/>
            </w:tcBorders>
            <w:noWrap w:val="0"/>
            <w:vAlign w:val="center"/>
          </w:tcPr>
          <w:p w14:paraId="4E296A08">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eastAsia="宋体" w:cs="Times New Roman"/>
                <w:color w:val="000000"/>
                <w:spacing w:val="0"/>
                <w:kern w:val="2"/>
                <w:position w:val="0"/>
                <w:sz w:val="24"/>
                <w:szCs w:val="24"/>
                <w:highlight w:val="none"/>
                <w:lang w:val="en-US" w:eastAsia="zh-CN" w:bidi="ar-SA"/>
              </w:rPr>
            </w:pPr>
            <w:r>
              <w:rPr>
                <w:rFonts w:hint="default" w:ascii="Times New Roman" w:hAnsi="Times New Roman" w:cs="Times New Roman"/>
                <w:color w:val="auto"/>
                <w:sz w:val="24"/>
              </w:rPr>
              <w:t>本项目竣工环境保护验收调查报告</w:t>
            </w:r>
            <w:r>
              <w:rPr>
                <w:rFonts w:hint="default" w:ascii="Times New Roman" w:hAnsi="Times New Roman" w:cs="Times New Roman"/>
                <w:color w:val="auto"/>
                <w:sz w:val="24"/>
                <w:lang w:eastAsia="zh-CN"/>
              </w:rPr>
              <w:t>表</w:t>
            </w:r>
            <w:r>
              <w:rPr>
                <w:rFonts w:hint="eastAsia" w:ascii="Times New Roman" w:hAnsi="Times New Roman" w:cs="Times New Roman"/>
                <w:color w:val="auto"/>
                <w:sz w:val="24"/>
                <w:lang w:val="en-US" w:eastAsia="zh-CN"/>
              </w:rPr>
              <w:t>调查</w:t>
            </w:r>
            <w:r>
              <w:rPr>
                <w:rFonts w:hint="default" w:ascii="Times New Roman" w:hAnsi="Times New Roman" w:cs="Times New Roman"/>
                <w:color w:val="auto"/>
                <w:sz w:val="24"/>
              </w:rPr>
              <w:t>范围</w:t>
            </w:r>
            <w:r>
              <w:rPr>
                <w:rFonts w:hint="default" w:ascii="Times New Roman" w:hAnsi="Times New Roman" w:cs="Times New Roman"/>
                <w:color w:val="auto"/>
                <w:sz w:val="24"/>
                <w:lang w:eastAsia="zh-CN"/>
              </w:rPr>
              <w:t>为</w:t>
            </w:r>
            <w:r>
              <w:rPr>
                <w:rFonts w:hint="default" w:ascii="Times New Roman" w:hAnsi="Times New Roman" w:cs="Times New Roman"/>
                <w:color w:val="auto"/>
                <w:sz w:val="24"/>
              </w:rPr>
              <w:t>环境影响报告表中评价范围，本次</w:t>
            </w:r>
            <w:r>
              <w:rPr>
                <w:rFonts w:hint="eastAsia" w:ascii="Times New Roman" w:hAnsi="Times New Roman" w:cs="Times New Roman"/>
                <w:color w:val="auto"/>
                <w:sz w:val="24"/>
                <w:lang w:val="en-US" w:eastAsia="zh-CN"/>
              </w:rPr>
              <w:t>调查</w:t>
            </w:r>
            <w:r>
              <w:rPr>
                <w:rFonts w:hint="default" w:ascii="Times New Roman" w:hAnsi="Times New Roman" w:cs="Times New Roman"/>
                <w:color w:val="auto"/>
                <w:sz w:val="24"/>
              </w:rPr>
              <w:t>范围</w:t>
            </w:r>
            <w:r>
              <w:rPr>
                <w:rFonts w:hint="default" w:ascii="Times New Roman" w:hAnsi="Times New Roman" w:cs="Times New Roman"/>
                <w:color w:val="auto"/>
                <w:sz w:val="24"/>
                <w:lang w:val="en-US" w:eastAsia="zh-CN"/>
              </w:rPr>
              <w:t>为</w:t>
            </w:r>
            <w:r>
              <w:rPr>
                <w:rFonts w:hint="default" w:ascii="Times New Roman" w:hAnsi="Times New Roman" w:cs="Times New Roman"/>
                <w:color w:val="auto"/>
                <w:sz w:val="24"/>
              </w:rPr>
              <w:t>：</w:t>
            </w:r>
            <w:r>
              <w:rPr>
                <w:rFonts w:hint="default" w:ascii="Times New Roman" w:hAnsi="Times New Roman" w:eastAsia="宋体" w:cs="Times New Roman"/>
                <w:b w:val="0"/>
                <w:bCs w:val="0"/>
                <w:color w:val="auto"/>
                <w:sz w:val="24"/>
                <w:szCs w:val="24"/>
                <w:lang w:val="en-US" w:eastAsia="zh-CN"/>
              </w:rPr>
              <w:t>项目矿区采矿权出让面积</w:t>
            </w:r>
            <w:r>
              <w:rPr>
                <w:rFonts w:hint="eastAsia" w:eastAsia="宋体" w:cs="Times New Roman"/>
                <w:color w:val="auto"/>
                <w:sz w:val="24"/>
                <w:szCs w:val="24"/>
                <w:lang w:val="en-US" w:eastAsia="zh-CN"/>
              </w:rPr>
              <w:t>1.5033</w:t>
            </w:r>
            <w:r>
              <w:rPr>
                <w:rFonts w:hint="default" w:ascii="Times New Roman" w:hAnsi="Times New Roman" w:eastAsia="宋体" w:cs="Times New Roman"/>
                <w:b w:val="0"/>
                <w:bCs w:val="0"/>
                <w:color w:val="auto"/>
                <w:sz w:val="24"/>
                <w:szCs w:val="24"/>
                <w:lang w:val="en-US" w:eastAsia="zh-CN"/>
              </w:rPr>
              <w:t>km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矿区区块划分为三块，C8-1区块开采</w:t>
            </w:r>
            <w:r>
              <w:rPr>
                <w:rFonts w:hint="default" w:cs="Times New Roman"/>
                <w:b w:val="0"/>
                <w:bCs w:val="0"/>
                <w:color w:val="auto"/>
                <w:sz w:val="24"/>
                <w:szCs w:val="24"/>
                <w:lang w:val="en-US" w:eastAsia="zh-CN"/>
              </w:rPr>
              <w:t>标高+330米至+220米</w:t>
            </w:r>
            <w:r>
              <w:rPr>
                <w:rFonts w:hint="eastAsia" w:cs="Times New Roman"/>
                <w:b w:val="0"/>
                <w:bCs w:val="0"/>
                <w:color w:val="auto"/>
                <w:sz w:val="24"/>
                <w:szCs w:val="24"/>
                <w:lang w:val="en-US" w:eastAsia="zh-CN"/>
              </w:rPr>
              <w:t>，C8-2区块开采标高</w:t>
            </w:r>
            <w:r>
              <w:rPr>
                <w:rFonts w:hint="default" w:cs="Times New Roman"/>
                <w:b w:val="0"/>
                <w:bCs w:val="0"/>
                <w:color w:val="auto"/>
                <w:sz w:val="24"/>
                <w:szCs w:val="24"/>
                <w:lang w:val="en-US" w:eastAsia="zh-CN"/>
              </w:rPr>
              <w:t>标高+450米至+270米</w:t>
            </w:r>
            <w:r>
              <w:rPr>
                <w:rFonts w:hint="eastAsia" w:cs="Times New Roman"/>
                <w:b w:val="0"/>
                <w:bCs w:val="0"/>
                <w:color w:val="auto"/>
                <w:sz w:val="24"/>
                <w:szCs w:val="24"/>
                <w:lang w:val="en-US" w:eastAsia="zh-CN"/>
              </w:rPr>
              <w:t>，C8-3区块开采</w:t>
            </w:r>
            <w:r>
              <w:rPr>
                <w:rFonts w:hint="default" w:cs="Times New Roman"/>
                <w:b w:val="0"/>
                <w:bCs w:val="0"/>
                <w:color w:val="auto"/>
                <w:sz w:val="24"/>
                <w:szCs w:val="24"/>
                <w:lang w:val="en-US" w:eastAsia="zh-CN"/>
              </w:rPr>
              <w:t>标高+307米至+230米</w:t>
            </w:r>
            <w:r>
              <w:rPr>
                <w:rFonts w:hint="eastAsia" w:cs="Times New Roman"/>
                <w:b w:val="0"/>
                <w:bCs w:val="0"/>
                <w:color w:val="auto"/>
                <w:sz w:val="24"/>
                <w:szCs w:val="24"/>
                <w:lang w:val="en-US" w:eastAsia="zh-CN"/>
              </w:rPr>
              <w:t>。</w:t>
            </w:r>
          </w:p>
          <w:p w14:paraId="1F2709DC">
            <w:pPr>
              <w:pStyle w:val="23"/>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cs="Times New Roman"/>
                <w:color w:val="000000"/>
                <w:sz w:val="24"/>
                <w:lang w:val="en-US" w:eastAsia="zh-CN"/>
              </w:rPr>
            </w:pPr>
            <w:r>
              <w:rPr>
                <w:rFonts w:hint="default" w:ascii="Times New Roman" w:hAnsi="Times New Roman" w:eastAsia="宋体" w:cs="Times New Roman"/>
                <w:b w:val="0"/>
                <w:bCs w:val="0"/>
                <w:color w:val="auto"/>
                <w:sz w:val="24"/>
                <w:szCs w:val="24"/>
                <w:lang w:val="en-US" w:eastAsia="zh-CN"/>
              </w:rPr>
              <w:t>产品方案为</w:t>
            </w:r>
            <w:r>
              <w:rPr>
                <w:rFonts w:hint="default" w:ascii="Times New Roman" w:hAnsi="Times New Roman" w:eastAsia="宋体" w:cs="Times New Roman"/>
                <w:color w:val="000000"/>
                <w:kern w:val="0"/>
                <w:sz w:val="24"/>
                <w:szCs w:val="24"/>
                <w:highlight w:val="none"/>
                <w:lang w:val="en-US" w:eastAsia="zh-CN" w:bidi="ar"/>
              </w:rPr>
              <w:t>饰面用花岗岩</w:t>
            </w:r>
            <w:r>
              <w:rPr>
                <w:rFonts w:hint="default"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开采规模</w:t>
            </w:r>
            <w:r>
              <w:rPr>
                <w:rFonts w:hint="eastAsia" w:cs="Times New Roman"/>
                <w:color w:val="000000"/>
                <w:kern w:val="0"/>
                <w:sz w:val="24"/>
                <w:szCs w:val="24"/>
                <w:lang w:val="en-US" w:eastAsia="zh-CN" w:bidi="ar"/>
              </w:rPr>
              <w:t>23万立方米</w:t>
            </w:r>
            <w:r>
              <w:rPr>
                <w:rFonts w:hint="default" w:ascii="Times New Roman" w:hAnsi="Times New Roman" w:eastAsia="宋体" w:cs="Times New Roman"/>
                <w:color w:val="000000"/>
                <w:kern w:val="0"/>
                <w:sz w:val="24"/>
                <w:szCs w:val="24"/>
                <w:lang w:val="en-US" w:eastAsia="zh-CN" w:bidi="ar"/>
              </w:rPr>
              <w:t>/年</w:t>
            </w:r>
            <w:r>
              <w:rPr>
                <w:rFonts w:hint="default" w:ascii="Times New Roman" w:hAnsi="Times New Roman" w:eastAsia="宋体" w:cs="Times New Roman"/>
                <w:b w:val="0"/>
                <w:bCs w:val="0"/>
                <w:color w:val="auto"/>
                <w:sz w:val="24"/>
                <w:szCs w:val="24"/>
                <w:lang w:val="en-US" w:eastAsia="zh-CN"/>
              </w:rPr>
              <w:t>。开采方式为露天开采，</w:t>
            </w:r>
            <w:r>
              <w:rPr>
                <w:rFonts w:hint="default" w:ascii="Times New Roman" w:hAnsi="Times New Roman" w:cs="Times New Roman"/>
                <w:color w:val="000000"/>
                <w:sz w:val="24"/>
                <w:lang w:val="en-US" w:eastAsia="zh-CN"/>
              </w:rPr>
              <w:t>其主体工程包括露天采场、办公生活区、矿区道路、供配电系统、供水系统及环保工程等</w:t>
            </w:r>
            <w:r>
              <w:rPr>
                <w:rFonts w:hint="eastAsia" w:cs="Times New Roman"/>
                <w:color w:val="000000"/>
                <w:sz w:val="24"/>
                <w:lang w:val="en-US" w:eastAsia="zh-CN"/>
              </w:rPr>
              <w:t>。</w:t>
            </w:r>
          </w:p>
          <w:p w14:paraId="30D4924E">
            <w:pPr>
              <w:pStyle w:val="23"/>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cs="Times New Roman"/>
                <w:color w:val="000000"/>
                <w:sz w:val="24"/>
                <w:lang w:val="en-US" w:eastAsia="zh-CN"/>
              </w:rPr>
            </w:pPr>
            <w:r>
              <w:rPr>
                <w:rFonts w:hint="default" w:ascii="Times New Roman" w:hAnsi="Times New Roman" w:cs="Times New Roman"/>
                <w:b w:val="0"/>
                <w:bCs w:val="0"/>
                <w:lang w:val="en-US"/>
              </w:rPr>
              <w:t>本次</w:t>
            </w:r>
            <w:r>
              <w:rPr>
                <w:rFonts w:hint="eastAsia" w:cs="Times New Roman"/>
                <w:b w:val="0"/>
                <w:bCs w:val="0"/>
                <w:color w:val="auto"/>
                <w:kern w:val="2"/>
                <w:sz w:val="24"/>
                <w:szCs w:val="24"/>
                <w:lang w:val="en-US" w:eastAsia="zh-CN" w:bidi="ar-SA"/>
              </w:rPr>
              <w:t>调查</w:t>
            </w:r>
            <w:r>
              <w:rPr>
                <w:rFonts w:hint="default" w:ascii="Times New Roman" w:hAnsi="Times New Roman" w:eastAsia="宋体" w:cs="Times New Roman"/>
                <w:b w:val="0"/>
                <w:bCs w:val="0"/>
                <w:color w:val="auto"/>
                <w:kern w:val="2"/>
                <w:sz w:val="24"/>
                <w:szCs w:val="24"/>
                <w:lang w:val="en-US" w:eastAsia="zh-CN" w:bidi="ar-SA"/>
              </w:rPr>
              <w:t>内容</w:t>
            </w:r>
            <w:r>
              <w:rPr>
                <w:rFonts w:hint="eastAsia" w:cs="Times New Roman"/>
                <w:b w:val="0"/>
                <w:bCs w:val="0"/>
                <w:color w:val="auto"/>
                <w:kern w:val="2"/>
                <w:sz w:val="24"/>
                <w:szCs w:val="24"/>
                <w:lang w:val="en-US" w:eastAsia="zh-CN" w:bidi="ar-SA"/>
              </w:rPr>
              <w:t>是</w:t>
            </w:r>
            <w:r>
              <w:rPr>
                <w:rFonts w:hint="eastAsia" w:ascii="Times New Roman" w:hAnsi="Times New Roman" w:eastAsia="宋体" w:cs="Times New Roman"/>
                <w:b w:val="0"/>
                <w:bCs w:val="0"/>
                <w:color w:val="auto"/>
                <w:kern w:val="2"/>
                <w:sz w:val="24"/>
                <w:szCs w:val="24"/>
                <w:lang w:val="en-US" w:eastAsia="zh-CN" w:bidi="ar-SA"/>
              </w:rPr>
              <w:t>重新剥离表土后形成新的开采平台C8-2及环保设施。</w:t>
            </w:r>
          </w:p>
        </w:tc>
      </w:tr>
      <w:tr w14:paraId="73AE67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55" w:hRule="atLeast"/>
          <w:jc w:val="center"/>
        </w:trPr>
        <w:tc>
          <w:tcPr>
            <w:tcW w:w="403" w:type="pct"/>
            <w:tcBorders>
              <w:tl2br w:val="nil"/>
              <w:tr2bl w:val="nil"/>
            </w:tcBorders>
            <w:noWrap w:val="0"/>
            <w:vAlign w:val="center"/>
          </w:tcPr>
          <w:p w14:paraId="427FAAB0">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eastAsia" w:ascii="Times New Roman" w:hAnsi="Times New Roman" w:cs="Times New Roman"/>
                <w:sz w:val="28"/>
                <w:lang w:val="en-US" w:eastAsia="zh-CN"/>
              </w:rPr>
            </w:pPr>
            <w:r>
              <w:rPr>
                <w:rFonts w:hint="eastAsia" w:ascii="Times New Roman" w:hAnsi="Times New Roman" w:cs="Times New Roman"/>
                <w:sz w:val="28"/>
                <w:lang w:val="en-US" w:eastAsia="zh-CN"/>
              </w:rPr>
              <w:t>调</w:t>
            </w:r>
          </w:p>
          <w:p w14:paraId="176E26F6">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eastAsia" w:ascii="Times New Roman" w:hAnsi="Times New Roman" w:cs="Times New Roman"/>
                <w:sz w:val="28"/>
                <w:lang w:val="en-US" w:eastAsia="zh-CN"/>
              </w:rPr>
            </w:pPr>
            <w:r>
              <w:rPr>
                <w:rFonts w:hint="eastAsia" w:ascii="Times New Roman" w:hAnsi="Times New Roman" w:cs="Times New Roman"/>
                <w:sz w:val="28"/>
                <w:lang w:val="en-US" w:eastAsia="zh-CN"/>
              </w:rPr>
              <w:t>查</w:t>
            </w:r>
          </w:p>
          <w:p w14:paraId="5115F71A">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eastAsia" w:ascii="Times New Roman" w:hAnsi="Times New Roman" w:cs="Times New Roman"/>
                <w:sz w:val="28"/>
                <w:lang w:val="en-US" w:eastAsia="zh-CN"/>
              </w:rPr>
            </w:pPr>
            <w:r>
              <w:rPr>
                <w:rFonts w:hint="eastAsia" w:ascii="Times New Roman" w:hAnsi="Times New Roman" w:cs="Times New Roman"/>
                <w:sz w:val="28"/>
                <w:lang w:val="en-US" w:eastAsia="zh-CN"/>
              </w:rPr>
              <w:t>因</w:t>
            </w:r>
          </w:p>
          <w:p w14:paraId="5C21D56B">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eastAsia" w:ascii="Times New Roman" w:hAnsi="Times New Roman" w:eastAsia="宋体" w:cs="Times New Roman"/>
                <w:sz w:val="28"/>
                <w:lang w:val="en-US" w:eastAsia="zh-CN"/>
              </w:rPr>
            </w:pPr>
            <w:r>
              <w:rPr>
                <w:rFonts w:hint="eastAsia" w:ascii="Times New Roman" w:hAnsi="Times New Roman" w:cs="Times New Roman"/>
                <w:sz w:val="28"/>
                <w:lang w:val="en-US" w:eastAsia="zh-CN"/>
              </w:rPr>
              <w:t>子</w:t>
            </w:r>
          </w:p>
        </w:tc>
        <w:tc>
          <w:tcPr>
            <w:tcW w:w="4596" w:type="pct"/>
            <w:tcBorders>
              <w:tl2br w:val="nil"/>
              <w:tr2bl w:val="nil"/>
            </w:tcBorders>
            <w:noWrap w:val="0"/>
            <w:vAlign w:val="top"/>
          </w:tcPr>
          <w:p w14:paraId="07244FB7">
            <w:pPr>
              <w:pStyle w:val="23"/>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本次竣工环境保护验收的调查因子为项目的主要污染因子，污染因子的达标情况，直接影响项目所在区域的环境质量。</w:t>
            </w:r>
          </w:p>
          <w:p w14:paraId="69050CBC">
            <w:pPr>
              <w:autoSpaceDE/>
              <w:autoSpaceDN/>
              <w:spacing w:before="156" w:beforeLines="50" w:line="240" w:lineRule="auto"/>
              <w:jc w:val="center"/>
              <w:rPr>
                <w:rFonts w:hint="default" w:ascii="Times New Roman" w:hAnsi="Times New Roman" w:eastAsia="宋体" w:cs="Times New Roman"/>
                <w:b/>
                <w:bCs/>
                <w:color w:val="auto"/>
                <w:kern w:val="2"/>
                <w:sz w:val="24"/>
                <w:lang w:val="en-US" w:eastAsia="zh-CN" w:bidi="ar-SA"/>
              </w:rPr>
            </w:pPr>
            <w:r>
              <w:rPr>
                <w:rFonts w:hint="default" w:ascii="Times New Roman" w:hAnsi="Times New Roman" w:eastAsia="宋体" w:cs="Times New Roman"/>
                <w:b/>
                <w:bCs/>
                <w:color w:val="auto"/>
                <w:kern w:val="2"/>
                <w:sz w:val="24"/>
                <w:lang w:val="en-US" w:bidi="ar-SA"/>
              </w:rPr>
              <w:t>表2-1</w:t>
            </w:r>
            <w:r>
              <w:rPr>
                <w:rFonts w:hint="eastAsia" w:ascii="Times New Roman" w:hAnsi="Times New Roman" w:eastAsia="宋体" w:cs="Times New Roman"/>
                <w:b/>
                <w:bCs/>
                <w:color w:val="auto"/>
                <w:kern w:val="2"/>
                <w:sz w:val="24"/>
                <w:lang w:val="en-US" w:eastAsia="zh-CN" w:bidi="ar-SA"/>
              </w:rPr>
              <w:t xml:space="preserve">  </w:t>
            </w:r>
            <w:r>
              <w:rPr>
                <w:rFonts w:hint="default" w:ascii="Times New Roman" w:hAnsi="Times New Roman" w:eastAsia="宋体" w:cs="Times New Roman"/>
                <w:b/>
                <w:bCs/>
                <w:color w:val="auto"/>
                <w:kern w:val="2"/>
                <w:sz w:val="24"/>
                <w:lang w:val="en-US" w:bidi="ar-SA"/>
              </w:rPr>
              <w:t>主要调查因子</w:t>
            </w:r>
            <w:r>
              <w:rPr>
                <w:rFonts w:hint="default" w:ascii="Times New Roman" w:hAnsi="Times New Roman" w:eastAsia="宋体" w:cs="Times New Roman"/>
                <w:b/>
                <w:bCs/>
                <w:color w:val="auto"/>
                <w:kern w:val="2"/>
                <w:sz w:val="24"/>
                <w:lang w:val="en-US" w:eastAsia="zh-CN" w:bidi="ar-SA"/>
              </w:rPr>
              <w:t>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749"/>
              <w:gridCol w:w="1496"/>
              <w:gridCol w:w="5493"/>
            </w:tblGrid>
            <w:tr w14:paraId="7B2F2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49" w:type="dxa"/>
                  <w:tcBorders>
                    <w:bottom w:val="single" w:color="auto" w:sz="12" w:space="0"/>
                  </w:tcBorders>
                  <w:noWrap w:val="0"/>
                  <w:vAlign w:val="center"/>
                </w:tcPr>
                <w:p w14:paraId="510F3E84">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cs="Times New Roman"/>
                      <w:b/>
                      <w:sz w:val="18"/>
                      <w:szCs w:val="18"/>
                    </w:rPr>
                  </w:pPr>
                  <w:r>
                    <w:rPr>
                      <w:rFonts w:hint="default" w:ascii="Times New Roman" w:hAnsi="Times New Roman" w:cs="Times New Roman"/>
                      <w:b/>
                      <w:sz w:val="18"/>
                      <w:szCs w:val="18"/>
                    </w:rPr>
                    <w:t>分类</w:t>
                  </w:r>
                </w:p>
              </w:tc>
              <w:tc>
                <w:tcPr>
                  <w:tcW w:w="1496" w:type="dxa"/>
                  <w:tcBorders>
                    <w:bottom w:val="single" w:color="auto" w:sz="12" w:space="0"/>
                  </w:tcBorders>
                  <w:noWrap w:val="0"/>
                  <w:vAlign w:val="center"/>
                </w:tcPr>
                <w:p w14:paraId="3C8106CA">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cs="Times New Roman"/>
                      <w:b/>
                      <w:sz w:val="18"/>
                      <w:szCs w:val="18"/>
                    </w:rPr>
                  </w:pPr>
                  <w:r>
                    <w:rPr>
                      <w:rFonts w:hint="default" w:ascii="Times New Roman" w:hAnsi="Times New Roman" w:cs="Times New Roman"/>
                      <w:b/>
                      <w:sz w:val="18"/>
                      <w:szCs w:val="18"/>
                    </w:rPr>
                    <w:t>要素</w:t>
                  </w:r>
                </w:p>
              </w:tc>
              <w:tc>
                <w:tcPr>
                  <w:tcW w:w="5493" w:type="dxa"/>
                  <w:tcBorders>
                    <w:bottom w:val="single" w:color="auto" w:sz="12" w:space="0"/>
                  </w:tcBorders>
                  <w:noWrap w:val="0"/>
                  <w:vAlign w:val="center"/>
                </w:tcPr>
                <w:p w14:paraId="055364FA">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cs="Times New Roman"/>
                      <w:b/>
                      <w:sz w:val="18"/>
                      <w:szCs w:val="18"/>
                    </w:rPr>
                  </w:pPr>
                  <w:r>
                    <w:rPr>
                      <w:rFonts w:hint="default" w:ascii="Times New Roman" w:hAnsi="Times New Roman" w:cs="Times New Roman"/>
                      <w:b/>
                      <w:sz w:val="18"/>
                      <w:szCs w:val="18"/>
                    </w:rPr>
                    <w:t>调查因子</w:t>
                  </w:r>
                </w:p>
              </w:tc>
            </w:tr>
            <w:tr w14:paraId="0AA01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49" w:type="dxa"/>
                  <w:vMerge w:val="restart"/>
                  <w:tcBorders>
                    <w:top w:val="single" w:color="auto" w:sz="12" w:space="0"/>
                    <w:bottom w:val="single" w:color="auto" w:sz="4" w:space="0"/>
                  </w:tcBorders>
                  <w:noWrap w:val="0"/>
                  <w:vAlign w:val="center"/>
                </w:tcPr>
                <w:p w14:paraId="156FD34A">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zh-CN" w:eastAsia="zh-CN"/>
                    </w:rPr>
                    <w:t>污染源调查因</w:t>
                  </w:r>
                  <w:r>
                    <w:rPr>
                      <w:rFonts w:hint="default" w:ascii="Times New Roman" w:hAnsi="Times New Roman" w:eastAsia="宋体" w:cs="Times New Roman"/>
                      <w:sz w:val="18"/>
                      <w:szCs w:val="18"/>
                      <w:lang w:val="en-US" w:eastAsia="zh-CN"/>
                    </w:rPr>
                    <w:t>子</w:t>
                  </w:r>
                </w:p>
              </w:tc>
              <w:tc>
                <w:tcPr>
                  <w:tcW w:w="1496" w:type="dxa"/>
                  <w:tcBorders>
                    <w:top w:val="single" w:color="auto" w:sz="12" w:space="0"/>
                    <w:bottom w:val="single" w:color="auto" w:sz="4" w:space="0"/>
                  </w:tcBorders>
                  <w:noWrap w:val="0"/>
                  <w:vAlign w:val="center"/>
                </w:tcPr>
                <w:p w14:paraId="71E3E7F8">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废气</w:t>
                  </w:r>
                </w:p>
              </w:tc>
              <w:tc>
                <w:tcPr>
                  <w:tcW w:w="5493" w:type="dxa"/>
                  <w:tcBorders>
                    <w:top w:val="single" w:color="auto" w:sz="12" w:space="0"/>
                    <w:bottom w:val="single" w:color="auto" w:sz="4" w:space="0"/>
                  </w:tcBorders>
                  <w:noWrap w:val="0"/>
                  <w:vAlign w:val="center"/>
                </w:tcPr>
                <w:p w14:paraId="59684425">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颗粒物、食堂油烟</w:t>
                  </w:r>
                </w:p>
              </w:tc>
            </w:tr>
            <w:tr w14:paraId="6F1D1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49" w:type="dxa"/>
                  <w:vMerge w:val="continue"/>
                  <w:tcBorders>
                    <w:top w:val="single" w:color="auto" w:sz="4" w:space="0"/>
                    <w:bottom w:val="single" w:color="auto" w:sz="4" w:space="0"/>
                  </w:tcBorders>
                  <w:noWrap w:val="0"/>
                  <w:vAlign w:val="center"/>
                </w:tcPr>
                <w:p w14:paraId="22E198FD">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sz w:val="18"/>
                      <w:szCs w:val="18"/>
                      <w:lang w:val="zh-CN" w:eastAsia="zh-CN"/>
                    </w:rPr>
                  </w:pPr>
                </w:p>
              </w:tc>
              <w:tc>
                <w:tcPr>
                  <w:tcW w:w="1496" w:type="dxa"/>
                  <w:tcBorders>
                    <w:top w:val="single" w:color="auto" w:sz="4" w:space="0"/>
                    <w:bottom w:val="single" w:color="auto" w:sz="4" w:space="0"/>
                  </w:tcBorders>
                  <w:noWrap w:val="0"/>
                  <w:vAlign w:val="center"/>
                </w:tcPr>
                <w:p w14:paraId="0786815E">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废水</w:t>
                  </w:r>
                </w:p>
              </w:tc>
              <w:tc>
                <w:tcPr>
                  <w:tcW w:w="5493" w:type="dxa"/>
                  <w:tcBorders>
                    <w:top w:val="single" w:color="auto" w:sz="4" w:space="0"/>
                    <w:bottom w:val="single" w:color="auto" w:sz="4" w:space="0"/>
                  </w:tcBorders>
                  <w:noWrap w:val="0"/>
                  <w:vAlign w:val="center"/>
                </w:tcPr>
                <w:p w14:paraId="7D595548">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生产废水、生活废水</w:t>
                  </w:r>
                </w:p>
              </w:tc>
            </w:tr>
            <w:tr w14:paraId="2B8A0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49" w:type="dxa"/>
                  <w:vMerge w:val="continue"/>
                  <w:tcBorders>
                    <w:top w:val="single" w:color="auto" w:sz="4" w:space="0"/>
                    <w:bottom w:val="single" w:color="auto" w:sz="4" w:space="0"/>
                  </w:tcBorders>
                  <w:noWrap w:val="0"/>
                  <w:textDirection w:val="tbRlV"/>
                  <w:vAlign w:val="center"/>
                </w:tcPr>
                <w:p w14:paraId="2E8BB17F">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kern w:val="2"/>
                      <w:sz w:val="18"/>
                      <w:szCs w:val="18"/>
                      <w:lang w:val="en-US" w:eastAsia="zh-CN" w:bidi="ar-SA"/>
                    </w:rPr>
                  </w:pPr>
                </w:p>
              </w:tc>
              <w:tc>
                <w:tcPr>
                  <w:tcW w:w="1496" w:type="dxa"/>
                  <w:tcBorders>
                    <w:top w:val="single" w:color="auto" w:sz="4" w:space="0"/>
                    <w:bottom w:val="single" w:color="auto" w:sz="4" w:space="0"/>
                  </w:tcBorders>
                  <w:noWrap w:val="0"/>
                  <w:vAlign w:val="center"/>
                </w:tcPr>
                <w:p w14:paraId="5E1DFD92">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噪声</w:t>
                  </w:r>
                </w:p>
              </w:tc>
              <w:tc>
                <w:tcPr>
                  <w:tcW w:w="5493" w:type="dxa"/>
                  <w:tcBorders>
                    <w:top w:val="single" w:color="auto" w:sz="4" w:space="0"/>
                    <w:bottom w:val="single" w:color="auto" w:sz="4" w:space="0"/>
                  </w:tcBorders>
                  <w:noWrap w:val="0"/>
                  <w:vAlign w:val="center"/>
                </w:tcPr>
                <w:p w14:paraId="2B317D72">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等效连续A声级</w:t>
                  </w:r>
                </w:p>
              </w:tc>
            </w:tr>
            <w:tr w14:paraId="3726C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49" w:type="dxa"/>
                  <w:vMerge w:val="continue"/>
                  <w:tcBorders>
                    <w:top w:val="single" w:color="auto" w:sz="4" w:space="0"/>
                    <w:bottom w:val="single" w:color="auto" w:sz="4" w:space="0"/>
                  </w:tcBorders>
                  <w:noWrap w:val="0"/>
                  <w:textDirection w:val="tbRlV"/>
                  <w:vAlign w:val="center"/>
                </w:tcPr>
                <w:p w14:paraId="78E198E8">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kern w:val="2"/>
                      <w:sz w:val="18"/>
                      <w:szCs w:val="18"/>
                      <w:lang w:val="en-US" w:eastAsia="zh-CN" w:bidi="ar-SA"/>
                    </w:rPr>
                  </w:pPr>
                </w:p>
              </w:tc>
              <w:tc>
                <w:tcPr>
                  <w:tcW w:w="1496" w:type="dxa"/>
                  <w:tcBorders>
                    <w:top w:val="single" w:color="auto" w:sz="4" w:space="0"/>
                    <w:bottom w:val="single" w:color="auto" w:sz="4" w:space="0"/>
                  </w:tcBorders>
                  <w:noWrap w:val="0"/>
                  <w:vAlign w:val="center"/>
                </w:tcPr>
                <w:p w14:paraId="3B2CD40C">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固体废物</w:t>
                  </w:r>
                </w:p>
              </w:tc>
              <w:tc>
                <w:tcPr>
                  <w:tcW w:w="5493" w:type="dxa"/>
                  <w:tcBorders>
                    <w:top w:val="single" w:color="auto" w:sz="4" w:space="0"/>
                    <w:bottom w:val="single" w:color="auto" w:sz="4" w:space="0"/>
                  </w:tcBorders>
                  <w:noWrap w:val="0"/>
                  <w:vAlign w:val="center"/>
                </w:tcPr>
                <w:p w14:paraId="683A5486">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生活垃圾、</w:t>
                  </w:r>
                  <w:r>
                    <w:rPr>
                      <w:rFonts w:hint="default" w:ascii="Times New Roman" w:hAnsi="Times New Roman" w:eastAsia="宋体" w:cs="Times New Roman"/>
                      <w:color w:val="000000"/>
                      <w:sz w:val="18"/>
                      <w:szCs w:val="18"/>
                      <w:lang w:val="en-US" w:eastAsia="zh-CN"/>
                    </w:rPr>
                    <w:t>剥离的表土</w:t>
                  </w:r>
                  <w:r>
                    <w:rPr>
                      <w:rFonts w:hint="eastAsia" w:cs="Times New Roman"/>
                      <w:color w:val="000000"/>
                      <w:sz w:val="18"/>
                      <w:szCs w:val="18"/>
                      <w:lang w:val="en-US" w:eastAsia="zh-CN"/>
                    </w:rPr>
                    <w:t>和风化层、废料</w:t>
                  </w:r>
                  <w:r>
                    <w:rPr>
                      <w:rFonts w:hint="eastAsia" w:ascii="Times New Roman" w:hAnsi="Times New Roman" w:eastAsia="宋体" w:cs="Times New Roman"/>
                      <w:kern w:val="2"/>
                      <w:sz w:val="18"/>
                      <w:szCs w:val="18"/>
                      <w:lang w:val="en-US" w:eastAsia="zh-CN" w:bidi="ar-SA"/>
                    </w:rPr>
                    <w:t>、含油废手套抹布、</w:t>
                  </w:r>
                  <w:r>
                    <w:rPr>
                      <w:rFonts w:hint="default" w:ascii="Times New Roman" w:hAnsi="Times New Roman" w:eastAsia="宋体" w:cs="Times New Roman"/>
                      <w:color w:val="000000"/>
                      <w:sz w:val="18"/>
                      <w:szCs w:val="18"/>
                      <w:lang w:eastAsia="zh-CN"/>
                    </w:rPr>
                    <w:t>沉淀池污泥</w:t>
                  </w:r>
                  <w:r>
                    <w:rPr>
                      <w:rFonts w:hint="eastAsia" w:ascii="Times New Roman" w:hAnsi="Times New Roman" w:eastAsia="宋体" w:cs="Times New Roman"/>
                      <w:kern w:val="2"/>
                      <w:sz w:val="18"/>
                      <w:szCs w:val="18"/>
                      <w:lang w:val="en-US" w:eastAsia="zh-CN" w:bidi="ar-SA"/>
                    </w:rPr>
                    <w:t>、废机油</w:t>
                  </w:r>
                </w:p>
              </w:tc>
            </w:tr>
            <w:tr w14:paraId="33A2E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49" w:type="dxa"/>
                  <w:vMerge w:val="restart"/>
                  <w:tcBorders>
                    <w:top w:val="single" w:color="auto" w:sz="4" w:space="0"/>
                    <w:bottom w:val="single" w:color="auto" w:sz="4" w:space="0"/>
                  </w:tcBorders>
                  <w:noWrap w:val="0"/>
                  <w:vAlign w:val="center"/>
                </w:tcPr>
                <w:p w14:paraId="7B99C279">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环境质量调查因子</w:t>
                  </w:r>
                </w:p>
              </w:tc>
              <w:tc>
                <w:tcPr>
                  <w:tcW w:w="1496" w:type="dxa"/>
                  <w:tcBorders>
                    <w:top w:val="single" w:color="auto" w:sz="4" w:space="0"/>
                    <w:bottom w:val="single" w:color="auto" w:sz="4" w:space="0"/>
                  </w:tcBorders>
                  <w:noWrap w:val="0"/>
                  <w:vAlign w:val="center"/>
                </w:tcPr>
                <w:p w14:paraId="3629FAC9">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环境空气</w:t>
                  </w:r>
                </w:p>
              </w:tc>
              <w:tc>
                <w:tcPr>
                  <w:tcW w:w="5493" w:type="dxa"/>
                  <w:tcBorders>
                    <w:top w:val="single" w:color="auto" w:sz="4" w:space="0"/>
                    <w:bottom w:val="single" w:color="auto" w:sz="4" w:space="0"/>
                  </w:tcBorders>
                  <w:noWrap w:val="0"/>
                  <w:vAlign w:val="center"/>
                </w:tcPr>
                <w:p w14:paraId="561BA571">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rPr>
                    <w:t>SO</w:t>
                  </w:r>
                  <w:r>
                    <w:rPr>
                      <w:rFonts w:hint="default" w:ascii="Times New Roman" w:hAnsi="Times New Roman" w:cs="Times New Roman"/>
                      <w:sz w:val="18"/>
                      <w:vertAlign w:val="subscript"/>
                    </w:rPr>
                    <w:t>2</w:t>
                  </w:r>
                  <w:r>
                    <w:rPr>
                      <w:rFonts w:hint="default" w:ascii="Times New Roman" w:hAnsi="Times New Roman" w:cs="Times New Roman"/>
                      <w:sz w:val="18"/>
                      <w:vertAlign w:val="baseline"/>
                      <w:lang w:eastAsia="zh-CN"/>
                    </w:rPr>
                    <w:t>、</w:t>
                  </w:r>
                  <w:r>
                    <w:rPr>
                      <w:rFonts w:hint="default" w:ascii="Times New Roman" w:hAnsi="Times New Roman" w:cs="Times New Roman"/>
                      <w:sz w:val="18"/>
                    </w:rPr>
                    <w:t>NO</w:t>
                  </w:r>
                  <w:r>
                    <w:rPr>
                      <w:rFonts w:hint="default" w:ascii="Times New Roman" w:hAnsi="Times New Roman" w:cs="Times New Roman"/>
                      <w:sz w:val="18"/>
                      <w:vertAlign w:val="subscript"/>
                    </w:rPr>
                    <w:t>2</w:t>
                  </w:r>
                  <w:r>
                    <w:rPr>
                      <w:rFonts w:hint="default" w:ascii="Times New Roman" w:hAnsi="Times New Roman" w:cs="Times New Roman"/>
                      <w:sz w:val="18"/>
                      <w:vertAlign w:val="baseline"/>
                      <w:lang w:eastAsia="zh-CN"/>
                    </w:rPr>
                    <w:t>、</w:t>
                  </w:r>
                  <w:r>
                    <w:rPr>
                      <w:rFonts w:hint="default" w:ascii="Times New Roman" w:hAnsi="Times New Roman" w:cs="Times New Roman"/>
                      <w:sz w:val="18"/>
                    </w:rPr>
                    <w:t>PM</w:t>
                  </w:r>
                  <w:r>
                    <w:rPr>
                      <w:rFonts w:hint="default" w:ascii="Times New Roman" w:hAnsi="Times New Roman" w:cs="Times New Roman"/>
                      <w:sz w:val="18"/>
                      <w:vertAlign w:val="subscript"/>
                    </w:rPr>
                    <w:t>10</w:t>
                  </w:r>
                  <w:r>
                    <w:rPr>
                      <w:rFonts w:hint="default" w:ascii="Times New Roman" w:hAnsi="Times New Roman" w:cs="Times New Roman"/>
                      <w:sz w:val="18"/>
                      <w:vertAlign w:val="baseline"/>
                      <w:lang w:eastAsia="zh-CN"/>
                    </w:rPr>
                    <w:t>、</w:t>
                  </w:r>
                  <w:r>
                    <w:rPr>
                      <w:rFonts w:hint="default" w:ascii="Times New Roman" w:hAnsi="Times New Roman" w:cs="Times New Roman"/>
                      <w:sz w:val="18"/>
                    </w:rPr>
                    <w:t>PM</w:t>
                  </w:r>
                  <w:r>
                    <w:rPr>
                      <w:rFonts w:hint="default" w:ascii="Times New Roman" w:hAnsi="Times New Roman" w:cs="Times New Roman"/>
                      <w:sz w:val="18"/>
                      <w:vertAlign w:val="subscript"/>
                    </w:rPr>
                    <w:t>2.5</w:t>
                  </w:r>
                  <w:r>
                    <w:rPr>
                      <w:rFonts w:hint="eastAsia" w:ascii="Times New Roman" w:hAnsi="Times New Roman" w:cs="Times New Roman"/>
                      <w:sz w:val="18"/>
                      <w:vertAlign w:val="baseline"/>
                      <w:lang w:eastAsia="zh-CN"/>
                    </w:rPr>
                    <w:t>、</w:t>
                  </w:r>
                  <w:r>
                    <w:rPr>
                      <w:rFonts w:hint="eastAsia" w:ascii="Times New Roman" w:hAnsi="Times New Roman" w:cs="Times New Roman"/>
                      <w:color w:val="000000"/>
                      <w:sz w:val="18"/>
                      <w:szCs w:val="18"/>
                      <w:lang w:val="en-US" w:eastAsia="zh-CN"/>
                    </w:rPr>
                    <w:t>TSP</w:t>
                  </w:r>
                  <w:r>
                    <w:rPr>
                      <w:rFonts w:hint="eastAsia" w:cs="Times New Roman"/>
                      <w:color w:val="000000"/>
                      <w:sz w:val="18"/>
                      <w:szCs w:val="18"/>
                      <w:lang w:val="en-US" w:eastAsia="zh-CN"/>
                    </w:rPr>
                    <w:t>、O</w:t>
                  </w:r>
                  <w:r>
                    <w:rPr>
                      <w:rFonts w:hint="eastAsia" w:cs="Times New Roman"/>
                      <w:color w:val="000000"/>
                      <w:sz w:val="18"/>
                      <w:szCs w:val="18"/>
                      <w:vertAlign w:val="subscript"/>
                      <w:lang w:val="en-US" w:eastAsia="zh-CN"/>
                    </w:rPr>
                    <w:t>3</w:t>
                  </w:r>
                </w:p>
              </w:tc>
            </w:tr>
            <w:tr w14:paraId="39670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49" w:type="dxa"/>
                  <w:vMerge w:val="continue"/>
                  <w:tcBorders>
                    <w:top w:val="single" w:color="auto" w:sz="4" w:space="0"/>
                    <w:bottom w:val="single" w:color="auto" w:sz="4" w:space="0"/>
                  </w:tcBorders>
                  <w:noWrap w:val="0"/>
                  <w:vAlign w:val="center"/>
                </w:tcPr>
                <w:p w14:paraId="3562D92B">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cs="Times New Roman"/>
                      <w:sz w:val="18"/>
                      <w:szCs w:val="18"/>
                    </w:rPr>
                  </w:pPr>
                </w:p>
              </w:tc>
              <w:tc>
                <w:tcPr>
                  <w:tcW w:w="1496" w:type="dxa"/>
                  <w:tcBorders>
                    <w:top w:val="single" w:color="auto" w:sz="4" w:space="0"/>
                    <w:bottom w:val="single" w:color="auto" w:sz="4" w:space="0"/>
                  </w:tcBorders>
                  <w:noWrap w:val="0"/>
                  <w:vAlign w:val="center"/>
                </w:tcPr>
                <w:p w14:paraId="1F4A91FC">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地表水环境</w:t>
                  </w:r>
                </w:p>
              </w:tc>
              <w:tc>
                <w:tcPr>
                  <w:tcW w:w="5493" w:type="dxa"/>
                  <w:tcBorders>
                    <w:top w:val="single" w:color="auto" w:sz="4" w:space="0"/>
                    <w:bottom w:val="single" w:color="auto" w:sz="4" w:space="0"/>
                  </w:tcBorders>
                  <w:noWrap w:val="0"/>
                  <w:vAlign w:val="center"/>
                </w:tcPr>
                <w:p w14:paraId="40E00324">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rPr>
                    <w:t>pH</w:t>
                  </w:r>
                  <w:r>
                    <w:rPr>
                      <w:rFonts w:hint="default" w:ascii="Times New Roman" w:hAnsi="Times New Roman" w:cs="Times New Roman"/>
                      <w:sz w:val="18"/>
                      <w:lang w:eastAsia="zh-CN"/>
                    </w:rPr>
                    <w:t>、</w:t>
                  </w:r>
                  <w:r>
                    <w:rPr>
                      <w:rFonts w:hint="default" w:ascii="Times New Roman" w:hAnsi="Times New Roman" w:cs="Times New Roman"/>
                      <w:sz w:val="18"/>
                    </w:rPr>
                    <w:t>化学需氧量</w:t>
                  </w:r>
                  <w:r>
                    <w:rPr>
                      <w:rFonts w:hint="default" w:ascii="Times New Roman" w:hAnsi="Times New Roman" w:cs="Times New Roman"/>
                      <w:sz w:val="18"/>
                      <w:lang w:eastAsia="zh-CN"/>
                    </w:rPr>
                    <w:t>、</w:t>
                  </w:r>
                  <w:r>
                    <w:rPr>
                      <w:rFonts w:hint="eastAsia" w:ascii="Times New Roman" w:hAnsi="Times New Roman" w:cs="Times New Roman"/>
                      <w:sz w:val="18"/>
                      <w:lang w:val="en-US" w:eastAsia="zh-CN"/>
                    </w:rPr>
                    <w:t>五日生化需氧量、氨氮、总磷</w:t>
                  </w:r>
                </w:p>
              </w:tc>
            </w:tr>
            <w:tr w14:paraId="4FD61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49" w:type="dxa"/>
                  <w:vMerge w:val="continue"/>
                  <w:tcBorders>
                    <w:top w:val="single" w:color="auto" w:sz="4" w:space="0"/>
                    <w:bottom w:val="single" w:color="auto" w:sz="4" w:space="0"/>
                  </w:tcBorders>
                  <w:noWrap w:val="0"/>
                  <w:vAlign w:val="center"/>
                </w:tcPr>
                <w:p w14:paraId="3A847A81">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cs="Times New Roman"/>
                      <w:sz w:val="18"/>
                      <w:szCs w:val="18"/>
                    </w:rPr>
                  </w:pPr>
                </w:p>
              </w:tc>
              <w:tc>
                <w:tcPr>
                  <w:tcW w:w="1496" w:type="dxa"/>
                  <w:tcBorders>
                    <w:top w:val="single" w:color="auto" w:sz="4" w:space="0"/>
                    <w:bottom w:val="single" w:color="auto" w:sz="4" w:space="0"/>
                  </w:tcBorders>
                  <w:noWrap w:val="0"/>
                  <w:vAlign w:val="center"/>
                </w:tcPr>
                <w:p w14:paraId="2173F19C">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lang w:val="en-US" w:eastAsia="zh-CN"/>
                    </w:rPr>
                    <w:t>声环境</w:t>
                  </w:r>
                </w:p>
              </w:tc>
              <w:tc>
                <w:tcPr>
                  <w:tcW w:w="5493" w:type="dxa"/>
                  <w:tcBorders>
                    <w:top w:val="single" w:color="auto" w:sz="4" w:space="0"/>
                    <w:bottom w:val="single" w:color="auto" w:sz="4" w:space="0"/>
                  </w:tcBorders>
                  <w:noWrap w:val="0"/>
                  <w:vAlign w:val="center"/>
                </w:tcPr>
                <w:p w14:paraId="2CA2DA7F">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sz w:val="18"/>
                      <w:szCs w:val="18"/>
                      <w:lang w:val="zh-CN" w:eastAsia="zh-CN" w:bidi="zh-CN"/>
                    </w:rPr>
                  </w:pPr>
                  <w:r>
                    <w:rPr>
                      <w:rFonts w:hint="default" w:ascii="Times New Roman" w:hAnsi="Times New Roman" w:cs="Times New Roman"/>
                      <w:sz w:val="18"/>
                      <w:szCs w:val="18"/>
                    </w:rPr>
                    <w:t>等效连续A声级</w:t>
                  </w:r>
                </w:p>
              </w:tc>
            </w:tr>
            <w:tr w14:paraId="7D03A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49" w:type="dxa"/>
                  <w:vMerge w:val="continue"/>
                  <w:tcBorders>
                    <w:top w:val="single" w:color="auto" w:sz="4" w:space="0"/>
                  </w:tcBorders>
                  <w:noWrap w:val="0"/>
                  <w:vAlign w:val="center"/>
                </w:tcPr>
                <w:p w14:paraId="61F7FFD7">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cs="Times New Roman"/>
                      <w:sz w:val="18"/>
                      <w:szCs w:val="18"/>
                    </w:rPr>
                  </w:pPr>
                </w:p>
              </w:tc>
              <w:tc>
                <w:tcPr>
                  <w:tcW w:w="1496" w:type="dxa"/>
                  <w:tcBorders>
                    <w:top w:val="single" w:color="auto" w:sz="4" w:space="0"/>
                  </w:tcBorders>
                  <w:noWrap w:val="0"/>
                  <w:vAlign w:val="center"/>
                </w:tcPr>
                <w:p w14:paraId="3073A973">
                  <w:pPr>
                    <w:pStyle w:val="8"/>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生态环境</w:t>
                  </w:r>
                </w:p>
              </w:tc>
              <w:tc>
                <w:tcPr>
                  <w:tcW w:w="5493" w:type="dxa"/>
                  <w:tcBorders>
                    <w:top w:val="single" w:color="auto" w:sz="4" w:space="0"/>
                  </w:tcBorders>
                  <w:noWrap w:val="0"/>
                  <w:vAlign w:val="center"/>
                </w:tcPr>
                <w:p w14:paraId="70E9264E">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植物分布</w:t>
                  </w:r>
                  <w:r>
                    <w:rPr>
                      <w:rFonts w:hint="default" w:ascii="Times New Roman" w:hAnsi="Times New Roman" w:cs="Times New Roman"/>
                      <w:sz w:val="18"/>
                      <w:szCs w:val="18"/>
                    </w:rPr>
                    <w:t>情况、</w:t>
                  </w:r>
                  <w:r>
                    <w:rPr>
                      <w:rFonts w:hint="eastAsia" w:ascii="Times New Roman" w:hAnsi="Times New Roman" w:cs="Times New Roman"/>
                      <w:sz w:val="18"/>
                      <w:szCs w:val="18"/>
                      <w:lang w:val="en-US" w:eastAsia="zh-CN"/>
                    </w:rPr>
                    <w:t>动物分布情况、水生生物分布情况、</w:t>
                  </w:r>
                  <w:r>
                    <w:rPr>
                      <w:rFonts w:hint="default" w:ascii="Times New Roman" w:hAnsi="Times New Roman" w:eastAsia="宋体" w:cs="Times New Roman"/>
                      <w:snapToGrid w:val="0"/>
                      <w:kern w:val="0"/>
                      <w:sz w:val="18"/>
                      <w:szCs w:val="18"/>
                    </w:rPr>
                    <w:t>土地利用现状</w:t>
                  </w:r>
                  <w:r>
                    <w:rPr>
                      <w:rFonts w:hint="eastAsia" w:ascii="Times New Roman" w:hAnsi="Times New Roman" w:eastAsia="宋体" w:cs="Times New Roman"/>
                      <w:snapToGrid w:val="0"/>
                      <w:kern w:val="0"/>
                      <w:sz w:val="18"/>
                      <w:szCs w:val="18"/>
                      <w:lang w:eastAsia="zh-CN"/>
                    </w:rPr>
                    <w:t>、</w:t>
                  </w:r>
                  <w:r>
                    <w:rPr>
                      <w:rFonts w:hint="eastAsia" w:ascii="Times New Roman" w:hAnsi="Times New Roman" w:cs="Times New Roman"/>
                      <w:sz w:val="18"/>
                      <w:szCs w:val="18"/>
                      <w:lang w:val="en-US" w:eastAsia="zh-CN"/>
                    </w:rPr>
                    <w:t>水土流失情况、景观生态及环境风险</w:t>
                  </w:r>
                </w:p>
              </w:tc>
            </w:tr>
          </w:tbl>
          <w:p w14:paraId="3D3616F9">
            <w:pPr>
              <w:pStyle w:val="23"/>
              <w:spacing w:before="161"/>
              <w:ind w:left="108"/>
              <w:rPr>
                <w:rFonts w:hint="default" w:ascii="Times New Roman" w:hAnsi="Times New Roman" w:cs="Times New Roman"/>
                <w:sz w:val="24"/>
              </w:rPr>
            </w:pPr>
          </w:p>
        </w:tc>
      </w:tr>
      <w:tr w14:paraId="3C35A2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107" w:hRule="atLeast"/>
          <w:jc w:val="center"/>
        </w:trPr>
        <w:tc>
          <w:tcPr>
            <w:tcW w:w="403" w:type="pct"/>
            <w:tcBorders>
              <w:tl2br w:val="nil"/>
              <w:tr2bl w:val="nil"/>
            </w:tcBorders>
            <w:noWrap w:val="0"/>
            <w:vAlign w:val="center"/>
          </w:tcPr>
          <w:p w14:paraId="6A66A407">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环</w:t>
            </w:r>
          </w:p>
          <w:p w14:paraId="46F8228E">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境</w:t>
            </w:r>
          </w:p>
          <w:p w14:paraId="602B4CCC">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敏</w:t>
            </w:r>
          </w:p>
          <w:p w14:paraId="7DAA9314">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感</w:t>
            </w:r>
          </w:p>
          <w:p w14:paraId="164EA1AA">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目</w:t>
            </w:r>
          </w:p>
          <w:p w14:paraId="51668B82">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cs="Times New Roman"/>
                <w:sz w:val="28"/>
              </w:rPr>
            </w:pPr>
            <w:r>
              <w:rPr>
                <w:rFonts w:hint="default" w:ascii="Times New Roman" w:hAnsi="Times New Roman" w:eastAsia="宋体" w:cs="Times New Roman"/>
                <w:sz w:val="28"/>
                <w:lang w:val="en-US" w:eastAsia="zh-CN"/>
              </w:rPr>
              <w:t>标</w:t>
            </w:r>
          </w:p>
        </w:tc>
        <w:tc>
          <w:tcPr>
            <w:tcW w:w="4596" w:type="pct"/>
            <w:tcBorders>
              <w:tl2br w:val="nil"/>
              <w:tr2bl w:val="nil"/>
            </w:tcBorders>
            <w:noWrap w:val="0"/>
            <w:vAlign w:val="top"/>
          </w:tcPr>
          <w:p w14:paraId="7CCD6217">
            <w:pPr>
              <w:pStyle w:val="23"/>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pacing w:val="-2"/>
                <w:sz w:val="24"/>
              </w:rPr>
            </w:pPr>
            <w:r>
              <w:rPr>
                <w:rFonts w:hint="eastAsia" w:ascii="Times New Roman" w:hAnsi="Times New Roman"/>
                <w:sz w:val="24"/>
                <w:lang w:eastAsia="zh-CN"/>
              </w:rPr>
              <w:t>本</w:t>
            </w:r>
            <w:r>
              <w:rPr>
                <w:rFonts w:hint="eastAsia" w:ascii="Times New Roman" w:hAnsi="Times New Roman"/>
                <w:sz w:val="24"/>
                <w:lang w:val="en-US" w:eastAsia="zh-CN"/>
              </w:rPr>
              <w:t>项目位于</w:t>
            </w:r>
            <w:r>
              <w:rPr>
                <w:rFonts w:hint="eastAsia" w:cs="Times New Roman"/>
                <w:sz w:val="24"/>
                <w:lang w:eastAsia="zh-CN"/>
              </w:rPr>
              <w:t>麻城市白鸭山矿区C8区块</w:t>
            </w:r>
            <w:r>
              <w:rPr>
                <w:rFonts w:hint="eastAsia" w:ascii="Times New Roman" w:hAnsi="Times New Roman"/>
                <w:sz w:val="24"/>
                <w:lang w:eastAsia="zh-CN"/>
              </w:rPr>
              <w:t>，项目不在生态保护红线范围内，符合生态保护红线保护要求。</w:t>
            </w:r>
            <w:r>
              <w:rPr>
                <w:rFonts w:hint="default" w:ascii="Times New Roman" w:hAnsi="Times New Roman" w:eastAsia="宋体" w:cs="Times New Roman"/>
                <w:spacing w:val="-2"/>
                <w:sz w:val="24"/>
                <w:lang w:val="en-US" w:eastAsia="zh-CN"/>
              </w:rPr>
              <w:t>本项目周边</w:t>
            </w:r>
            <w:r>
              <w:rPr>
                <w:rFonts w:hint="eastAsia" w:ascii="Times New Roman" w:hAnsi="Times New Roman" w:eastAsia="宋体" w:cs="Times New Roman"/>
                <w:spacing w:val="-2"/>
                <w:sz w:val="24"/>
                <w:lang w:val="en-US" w:eastAsia="zh-CN"/>
              </w:rPr>
              <w:t>环境敏感目标</w:t>
            </w:r>
            <w:r>
              <w:rPr>
                <w:rFonts w:hint="default" w:ascii="Times New Roman" w:hAnsi="Times New Roman" w:eastAsia="宋体" w:cs="Times New Roman"/>
                <w:spacing w:val="-2"/>
                <w:sz w:val="24"/>
                <w:lang w:val="en-US" w:eastAsia="zh-CN"/>
              </w:rPr>
              <w:t>见表</w:t>
            </w:r>
            <w:r>
              <w:rPr>
                <w:rFonts w:hint="eastAsia" w:ascii="Times New Roman" w:hAnsi="Times New Roman" w:eastAsia="宋体" w:cs="Times New Roman"/>
                <w:spacing w:val="-2"/>
                <w:sz w:val="24"/>
                <w:lang w:val="en-US" w:eastAsia="zh-CN"/>
              </w:rPr>
              <w:t>2-2</w:t>
            </w:r>
            <w:r>
              <w:rPr>
                <w:rFonts w:hint="default" w:ascii="Times New Roman" w:hAnsi="Times New Roman" w:eastAsia="宋体" w:cs="Times New Roman"/>
                <w:spacing w:val="-2"/>
                <w:sz w:val="24"/>
              </w:rPr>
              <w:t>。</w:t>
            </w:r>
          </w:p>
          <w:p w14:paraId="500508A2">
            <w:pPr>
              <w:autoSpaceDE/>
              <w:autoSpaceDN/>
              <w:spacing w:before="156" w:beforeLines="50" w:line="240" w:lineRule="auto"/>
              <w:jc w:val="center"/>
              <w:rPr>
                <w:rFonts w:hint="default" w:ascii="Times New Roman" w:hAnsi="Times New Roman" w:eastAsia="宋体" w:cs="Times New Roman"/>
                <w:b/>
                <w:bCs/>
                <w:color w:val="auto"/>
                <w:kern w:val="2"/>
                <w:sz w:val="24"/>
                <w:lang w:val="en-US" w:bidi="ar-SA"/>
              </w:rPr>
            </w:pPr>
            <w:r>
              <w:rPr>
                <w:rFonts w:hint="default" w:ascii="Times New Roman" w:hAnsi="Times New Roman" w:eastAsia="宋体" w:cs="Times New Roman"/>
                <w:b/>
                <w:bCs/>
                <w:color w:val="auto"/>
                <w:kern w:val="2"/>
                <w:sz w:val="24"/>
                <w:lang w:val="en-US" w:bidi="ar-SA"/>
              </w:rPr>
              <w:t>表</w:t>
            </w:r>
            <w:r>
              <w:rPr>
                <w:rFonts w:hint="default" w:ascii="Times New Roman" w:hAnsi="Times New Roman" w:eastAsia="宋体" w:cs="Times New Roman"/>
                <w:b/>
                <w:bCs/>
                <w:color w:val="auto"/>
                <w:kern w:val="2"/>
                <w:sz w:val="24"/>
                <w:lang w:val="en-US" w:eastAsia="zh-CN" w:bidi="ar-SA"/>
              </w:rPr>
              <w:t>2-2  项目</w:t>
            </w:r>
            <w:r>
              <w:rPr>
                <w:rFonts w:hint="default" w:ascii="Times New Roman" w:hAnsi="Times New Roman" w:eastAsia="宋体" w:cs="Times New Roman"/>
                <w:b/>
                <w:bCs/>
                <w:color w:val="auto"/>
                <w:kern w:val="2"/>
                <w:sz w:val="24"/>
                <w:lang w:val="en-US" w:bidi="ar-SA"/>
              </w:rPr>
              <w:t>周边</w:t>
            </w:r>
            <w:r>
              <w:rPr>
                <w:rFonts w:hint="eastAsia" w:ascii="Times New Roman" w:hAnsi="Times New Roman" w:eastAsia="宋体" w:cs="Times New Roman"/>
                <w:b/>
                <w:bCs/>
                <w:color w:val="auto"/>
                <w:kern w:val="2"/>
                <w:sz w:val="24"/>
                <w:lang w:val="en-US" w:eastAsia="zh-CN" w:bidi="ar-SA"/>
              </w:rPr>
              <w:t>环境敏感目标</w:t>
            </w:r>
            <w:r>
              <w:rPr>
                <w:rFonts w:hint="default" w:ascii="Times New Roman" w:hAnsi="Times New Roman" w:eastAsia="宋体" w:cs="Times New Roman"/>
                <w:b/>
                <w:bCs/>
                <w:color w:val="auto"/>
                <w:kern w:val="2"/>
                <w:sz w:val="24"/>
                <w:lang w:val="en-US" w:bidi="ar-SA"/>
              </w:rPr>
              <w:t>一览表</w:t>
            </w:r>
          </w:p>
          <w:tbl>
            <w:tblPr>
              <w:tblStyle w:val="17"/>
              <w:tblW w:w="49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095"/>
              <w:gridCol w:w="917"/>
              <w:gridCol w:w="780"/>
              <w:gridCol w:w="968"/>
              <w:gridCol w:w="994"/>
              <w:gridCol w:w="2964"/>
            </w:tblGrid>
            <w:tr w14:paraId="3FCA5B1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1" w:type="pct"/>
                  <w:tcBorders>
                    <w:top w:val="single" w:color="000000" w:sz="12" w:space="0"/>
                    <w:bottom w:val="single" w:color="000000" w:sz="12" w:space="0"/>
                  </w:tcBorders>
                  <w:noWrap w:val="0"/>
                  <w:vAlign w:val="center"/>
                </w:tcPr>
                <w:p w14:paraId="179FB60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spacing w:val="0"/>
                      <w:position w:val="0"/>
                      <w:sz w:val="18"/>
                      <w:szCs w:val="18"/>
                      <w:highlight w:val="none"/>
                      <w:lang w:val="en-US" w:eastAsia="zh-CN"/>
                    </w:rPr>
                  </w:pPr>
                  <w:r>
                    <w:rPr>
                      <w:rFonts w:hint="default" w:ascii="Times New Roman" w:hAnsi="Times New Roman" w:eastAsia="宋体" w:cs="Times New Roman"/>
                      <w:b/>
                      <w:bCs/>
                      <w:color w:val="000000"/>
                      <w:spacing w:val="0"/>
                      <w:position w:val="0"/>
                      <w:sz w:val="18"/>
                      <w:szCs w:val="18"/>
                      <w:highlight w:val="none"/>
                    </w:rPr>
                    <w:t>敏感目标</w:t>
                  </w:r>
                  <w:r>
                    <w:rPr>
                      <w:rFonts w:hint="default" w:ascii="Times New Roman" w:hAnsi="Times New Roman" w:eastAsia="宋体" w:cs="Times New Roman"/>
                      <w:b/>
                      <w:bCs/>
                      <w:color w:val="000000"/>
                      <w:spacing w:val="0"/>
                      <w:position w:val="0"/>
                      <w:sz w:val="18"/>
                      <w:szCs w:val="18"/>
                      <w:highlight w:val="none"/>
                      <w:lang w:val="en-US" w:eastAsia="zh-CN"/>
                    </w:rPr>
                    <w:t>名称</w:t>
                  </w:r>
                </w:p>
              </w:tc>
              <w:tc>
                <w:tcPr>
                  <w:tcW w:w="526" w:type="pct"/>
                  <w:tcBorders>
                    <w:top w:val="single" w:color="000000" w:sz="12" w:space="0"/>
                    <w:bottom w:val="single" w:color="000000" w:sz="12" w:space="0"/>
                  </w:tcBorders>
                  <w:noWrap w:val="0"/>
                  <w:vAlign w:val="center"/>
                </w:tcPr>
                <w:p w14:paraId="7584A66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spacing w:val="0"/>
                      <w:position w:val="0"/>
                      <w:sz w:val="18"/>
                      <w:szCs w:val="18"/>
                      <w:highlight w:val="none"/>
                    </w:rPr>
                  </w:pPr>
                  <w:r>
                    <w:rPr>
                      <w:rFonts w:hint="default" w:ascii="Times New Roman" w:hAnsi="Times New Roman" w:eastAsia="宋体" w:cs="Times New Roman"/>
                      <w:b/>
                      <w:bCs/>
                      <w:color w:val="000000"/>
                      <w:spacing w:val="0"/>
                      <w:position w:val="0"/>
                      <w:sz w:val="18"/>
                      <w:szCs w:val="18"/>
                      <w:highlight w:val="none"/>
                    </w:rPr>
                    <w:t>规模</w:t>
                  </w:r>
                </w:p>
              </w:tc>
              <w:tc>
                <w:tcPr>
                  <w:tcW w:w="447" w:type="pct"/>
                  <w:tcBorders>
                    <w:top w:val="single" w:color="000000" w:sz="12" w:space="0"/>
                    <w:bottom w:val="single" w:color="000000" w:sz="12" w:space="0"/>
                  </w:tcBorders>
                  <w:noWrap w:val="0"/>
                  <w:vAlign w:val="center"/>
                </w:tcPr>
                <w:p w14:paraId="297CCE9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spacing w:val="0"/>
                      <w:position w:val="0"/>
                      <w:sz w:val="18"/>
                      <w:szCs w:val="18"/>
                      <w:highlight w:val="none"/>
                    </w:rPr>
                  </w:pPr>
                  <w:r>
                    <w:rPr>
                      <w:rFonts w:hint="default" w:ascii="Times New Roman" w:hAnsi="Times New Roman" w:eastAsia="宋体" w:cs="Times New Roman"/>
                      <w:b/>
                      <w:bCs/>
                      <w:color w:val="000000"/>
                      <w:spacing w:val="0"/>
                      <w:position w:val="0"/>
                      <w:sz w:val="18"/>
                      <w:szCs w:val="18"/>
                      <w:highlight w:val="none"/>
                    </w:rPr>
                    <w:t>方位</w:t>
                  </w:r>
                </w:p>
              </w:tc>
              <w:tc>
                <w:tcPr>
                  <w:tcW w:w="553" w:type="pct"/>
                  <w:tcBorders>
                    <w:top w:val="single" w:color="000000" w:sz="12" w:space="0"/>
                    <w:bottom w:val="single" w:color="000000" w:sz="12" w:space="0"/>
                  </w:tcBorders>
                  <w:noWrap w:val="0"/>
                  <w:vAlign w:val="center"/>
                </w:tcPr>
                <w:p w14:paraId="60AEC2C2">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spacing w:val="0"/>
                      <w:position w:val="0"/>
                      <w:sz w:val="18"/>
                      <w:szCs w:val="18"/>
                      <w:highlight w:val="none"/>
                    </w:rPr>
                  </w:pPr>
                  <w:r>
                    <w:rPr>
                      <w:rFonts w:hint="default" w:ascii="Times New Roman" w:hAnsi="Times New Roman" w:eastAsia="宋体" w:cs="Times New Roman"/>
                      <w:b/>
                      <w:bCs/>
                      <w:color w:val="000000"/>
                      <w:spacing w:val="0"/>
                      <w:position w:val="0"/>
                      <w:sz w:val="18"/>
                      <w:szCs w:val="18"/>
                      <w:highlight w:val="none"/>
                      <w:lang w:val="en-US" w:eastAsia="zh-CN"/>
                    </w:rPr>
                    <w:t>相对</w:t>
                  </w:r>
                  <w:r>
                    <w:rPr>
                      <w:rFonts w:hint="default" w:ascii="Times New Roman" w:hAnsi="Times New Roman" w:eastAsia="宋体" w:cs="Times New Roman"/>
                      <w:b/>
                      <w:bCs/>
                      <w:color w:val="000000"/>
                      <w:spacing w:val="0"/>
                      <w:position w:val="0"/>
                      <w:sz w:val="18"/>
                      <w:szCs w:val="18"/>
                      <w:highlight w:val="none"/>
                    </w:rPr>
                    <w:t>距离</w:t>
                  </w:r>
                </w:p>
              </w:tc>
              <w:tc>
                <w:tcPr>
                  <w:tcW w:w="570" w:type="pct"/>
                  <w:tcBorders>
                    <w:top w:val="single" w:color="000000" w:sz="12" w:space="0"/>
                    <w:bottom w:val="single" w:color="000000" w:sz="12" w:space="0"/>
                  </w:tcBorders>
                  <w:noWrap w:val="0"/>
                  <w:vAlign w:val="center"/>
                </w:tcPr>
                <w:p w14:paraId="5E5DF001">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spacing w:val="0"/>
                      <w:position w:val="0"/>
                      <w:sz w:val="18"/>
                      <w:szCs w:val="18"/>
                      <w:highlight w:val="none"/>
                    </w:rPr>
                  </w:pPr>
                  <w:r>
                    <w:rPr>
                      <w:rFonts w:hint="default" w:ascii="Times New Roman" w:hAnsi="Times New Roman" w:eastAsia="宋体" w:cs="Times New Roman"/>
                      <w:b/>
                      <w:bCs/>
                      <w:color w:val="000000"/>
                      <w:spacing w:val="0"/>
                      <w:position w:val="0"/>
                      <w:sz w:val="18"/>
                      <w:szCs w:val="18"/>
                      <w:highlight w:val="none"/>
                    </w:rPr>
                    <w:t>环境要素</w:t>
                  </w:r>
                </w:p>
              </w:tc>
              <w:tc>
                <w:tcPr>
                  <w:tcW w:w="1699" w:type="pct"/>
                  <w:tcBorders>
                    <w:top w:val="single" w:color="000000" w:sz="12" w:space="0"/>
                    <w:bottom w:val="single" w:color="000000" w:sz="12" w:space="0"/>
                  </w:tcBorders>
                  <w:noWrap w:val="0"/>
                  <w:vAlign w:val="center"/>
                </w:tcPr>
                <w:p w14:paraId="4DA70E21">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000000"/>
                      <w:spacing w:val="0"/>
                      <w:position w:val="0"/>
                      <w:sz w:val="18"/>
                      <w:szCs w:val="18"/>
                      <w:highlight w:val="none"/>
                    </w:rPr>
                  </w:pPr>
                  <w:r>
                    <w:rPr>
                      <w:rFonts w:hint="default" w:ascii="Times New Roman" w:hAnsi="Times New Roman" w:eastAsia="宋体" w:cs="Times New Roman"/>
                      <w:b/>
                      <w:bCs/>
                      <w:color w:val="000000"/>
                      <w:spacing w:val="0"/>
                      <w:position w:val="0"/>
                      <w:sz w:val="18"/>
                      <w:szCs w:val="18"/>
                      <w:highlight w:val="none"/>
                    </w:rPr>
                    <w:t>保护要求</w:t>
                  </w:r>
                </w:p>
              </w:tc>
            </w:tr>
            <w:tr w14:paraId="3F132C7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2729" w:type="pct"/>
                  <w:gridSpan w:val="4"/>
                  <w:tcBorders>
                    <w:top w:val="single" w:color="000000" w:sz="12" w:space="0"/>
                  </w:tcBorders>
                  <w:noWrap w:val="0"/>
                  <w:vAlign w:val="center"/>
                </w:tcPr>
                <w:p w14:paraId="410F87D2">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lang w:val="en-US" w:eastAsia="zh-CN"/>
                    </w:rPr>
                    <w:t>项目矿界外500m范围内无大气环境保护目标</w:t>
                  </w:r>
                </w:p>
                <w:p w14:paraId="465E280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lang w:val="en-US" w:eastAsia="zh-CN"/>
                    </w:rPr>
                    <w:t>项目矿界外50m范围内无声环境保护目标</w:t>
                  </w:r>
                </w:p>
              </w:tc>
              <w:tc>
                <w:tcPr>
                  <w:tcW w:w="570" w:type="pct"/>
                  <w:tcBorders>
                    <w:top w:val="single" w:color="000000" w:sz="12" w:space="0"/>
                  </w:tcBorders>
                  <w:noWrap w:val="0"/>
                  <w:vAlign w:val="center"/>
                </w:tcPr>
                <w:p w14:paraId="5722E189">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rPr>
                    <w:t>大气</w:t>
                  </w:r>
                  <w:r>
                    <w:rPr>
                      <w:rFonts w:hint="default" w:ascii="Times New Roman" w:hAnsi="Times New Roman" w:eastAsia="宋体" w:cs="Times New Roman"/>
                      <w:color w:val="000000"/>
                      <w:spacing w:val="0"/>
                      <w:position w:val="0"/>
                      <w:sz w:val="18"/>
                      <w:szCs w:val="18"/>
                      <w:highlight w:val="none"/>
                      <w:lang w:val="en-US" w:eastAsia="zh-CN"/>
                    </w:rPr>
                    <w:t>环境</w:t>
                  </w:r>
                </w:p>
                <w:p w14:paraId="7F5F272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rPr>
                    <w:t>声</w:t>
                  </w:r>
                  <w:r>
                    <w:rPr>
                      <w:rFonts w:hint="default" w:ascii="Times New Roman" w:hAnsi="Times New Roman" w:eastAsia="宋体" w:cs="Times New Roman"/>
                      <w:color w:val="000000"/>
                      <w:spacing w:val="0"/>
                      <w:position w:val="0"/>
                      <w:sz w:val="18"/>
                      <w:szCs w:val="18"/>
                      <w:highlight w:val="none"/>
                      <w:lang w:val="en-US" w:eastAsia="zh-CN"/>
                    </w:rPr>
                    <w:t>环境</w:t>
                  </w:r>
                </w:p>
              </w:tc>
              <w:tc>
                <w:tcPr>
                  <w:tcW w:w="1699" w:type="pct"/>
                  <w:tcBorders>
                    <w:top w:val="single" w:color="000000" w:sz="12" w:space="0"/>
                  </w:tcBorders>
                  <w:noWrap w:val="0"/>
                  <w:vAlign w:val="center"/>
                </w:tcPr>
                <w:p w14:paraId="1215B01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rPr>
                  </w:pPr>
                  <w:r>
                    <w:rPr>
                      <w:rFonts w:hint="default" w:ascii="Times New Roman" w:hAnsi="Times New Roman" w:eastAsia="宋体" w:cs="Times New Roman"/>
                      <w:color w:val="000000"/>
                      <w:spacing w:val="0"/>
                      <w:position w:val="0"/>
                      <w:sz w:val="18"/>
                      <w:szCs w:val="18"/>
                      <w:highlight w:val="none"/>
                    </w:rPr>
                    <w:t>《环境空气质量标准》</w:t>
                  </w:r>
                  <w:r>
                    <w:rPr>
                      <w:rFonts w:hint="default" w:ascii="Times New Roman" w:hAnsi="Times New Roman" w:eastAsia="宋体" w:cs="Times New Roman"/>
                      <w:color w:val="000000"/>
                      <w:spacing w:val="0"/>
                      <w:position w:val="0"/>
                      <w:sz w:val="18"/>
                      <w:szCs w:val="18"/>
                      <w:highlight w:val="none"/>
                      <w:lang w:eastAsia="zh-CN"/>
                    </w:rPr>
                    <w:t>（</w:t>
                  </w:r>
                  <w:r>
                    <w:rPr>
                      <w:rFonts w:hint="default" w:ascii="Times New Roman" w:hAnsi="Times New Roman" w:eastAsia="宋体" w:cs="Times New Roman"/>
                      <w:color w:val="000000"/>
                      <w:spacing w:val="0"/>
                      <w:position w:val="0"/>
                      <w:sz w:val="18"/>
                      <w:szCs w:val="18"/>
                      <w:highlight w:val="none"/>
                    </w:rPr>
                    <w:t>GB3095-2012</w:t>
                  </w:r>
                  <w:r>
                    <w:rPr>
                      <w:rFonts w:hint="default" w:ascii="Times New Roman" w:hAnsi="Times New Roman" w:eastAsia="宋体" w:cs="Times New Roman"/>
                      <w:color w:val="000000"/>
                      <w:spacing w:val="0"/>
                      <w:position w:val="0"/>
                      <w:sz w:val="18"/>
                      <w:szCs w:val="18"/>
                      <w:highlight w:val="none"/>
                      <w:lang w:eastAsia="zh-CN"/>
                    </w:rPr>
                    <w:t>）</w:t>
                  </w:r>
                  <w:r>
                    <w:rPr>
                      <w:rFonts w:hint="default" w:ascii="Times New Roman" w:hAnsi="Times New Roman" w:eastAsia="宋体" w:cs="Times New Roman"/>
                      <w:color w:val="000000"/>
                      <w:spacing w:val="0"/>
                      <w:position w:val="0"/>
                      <w:sz w:val="18"/>
                      <w:szCs w:val="18"/>
                      <w:highlight w:val="none"/>
                    </w:rPr>
                    <w:t>及其修改单二级《声环境质量标准》（GB3096-2008）</w:t>
                  </w:r>
                  <w:r>
                    <w:rPr>
                      <w:rFonts w:hint="default" w:ascii="Times New Roman" w:hAnsi="Times New Roman" w:eastAsia="宋体" w:cs="Times New Roman"/>
                      <w:color w:val="000000"/>
                      <w:spacing w:val="0"/>
                      <w:position w:val="0"/>
                      <w:sz w:val="18"/>
                      <w:szCs w:val="18"/>
                      <w:highlight w:val="none"/>
                      <w:lang w:val="en-US" w:eastAsia="zh-CN"/>
                    </w:rPr>
                    <w:t>2</w:t>
                  </w:r>
                  <w:r>
                    <w:rPr>
                      <w:rFonts w:hint="default" w:ascii="Times New Roman" w:hAnsi="Times New Roman" w:eastAsia="宋体" w:cs="Times New Roman"/>
                      <w:color w:val="000000"/>
                      <w:spacing w:val="0"/>
                      <w:position w:val="0"/>
                      <w:sz w:val="18"/>
                      <w:szCs w:val="18"/>
                      <w:highlight w:val="none"/>
                    </w:rPr>
                    <w:t>类</w:t>
                  </w:r>
                </w:p>
              </w:tc>
            </w:tr>
            <w:tr w14:paraId="3834A34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2729" w:type="pct"/>
                  <w:gridSpan w:val="4"/>
                  <w:noWrap w:val="0"/>
                  <w:vAlign w:val="center"/>
                </w:tcPr>
                <w:p w14:paraId="5712E59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sz w:val="18"/>
                      <w:szCs w:val="18"/>
                      <w:highlight w:val="none"/>
                      <w:lang w:val="en-US" w:eastAsia="zh-CN"/>
                    </w:rPr>
                    <w:t>矿界外500m范围内</w:t>
                  </w:r>
                  <w:r>
                    <w:rPr>
                      <w:rFonts w:hint="default" w:ascii="Times New Roman" w:hAnsi="Times New Roman" w:eastAsia="宋体" w:cs="Times New Roman"/>
                      <w:color w:val="000000"/>
                      <w:spacing w:val="0"/>
                      <w:sz w:val="18"/>
                      <w:szCs w:val="18"/>
                      <w:highlight w:val="none"/>
                      <w:lang w:eastAsia="zh-CN"/>
                    </w:rPr>
                    <w:t>无集中式饮用水源和热水、矿泉水、温泉等特殊地下水资源</w:t>
                  </w:r>
                </w:p>
              </w:tc>
              <w:tc>
                <w:tcPr>
                  <w:tcW w:w="570" w:type="pct"/>
                  <w:noWrap w:val="0"/>
                  <w:vAlign w:val="center"/>
                </w:tcPr>
                <w:p w14:paraId="294EC1B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lang w:val="en-US" w:eastAsia="zh-CN"/>
                    </w:rPr>
                    <w:t>地下水</w:t>
                  </w:r>
                </w:p>
                <w:p w14:paraId="4E475AC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lang w:val="en-US" w:eastAsia="zh-CN"/>
                    </w:rPr>
                    <w:t>环境</w:t>
                  </w:r>
                </w:p>
              </w:tc>
              <w:tc>
                <w:tcPr>
                  <w:tcW w:w="1699" w:type="pct"/>
                  <w:noWrap w:val="0"/>
                  <w:vAlign w:val="center"/>
                </w:tcPr>
                <w:p w14:paraId="3233D28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z w:val="18"/>
                      <w:szCs w:val="18"/>
                    </w:rPr>
                    <w:t>《地下水质量标准》（GB/T14848-</w:t>
                  </w:r>
                  <w:r>
                    <w:rPr>
                      <w:rFonts w:hint="default" w:ascii="Times New Roman" w:hAnsi="Times New Roman" w:eastAsia="宋体" w:cs="Times New Roman"/>
                      <w:color w:val="000000"/>
                      <w:sz w:val="18"/>
                      <w:szCs w:val="18"/>
                      <w:lang w:val="en-US" w:eastAsia="zh-CN"/>
                    </w:rPr>
                    <w:t>2017</w:t>
                  </w:r>
                  <w:r>
                    <w:rPr>
                      <w:rFonts w:hint="default" w:ascii="Times New Roman" w:hAnsi="Times New Roman" w:eastAsia="宋体" w:cs="Times New Roman"/>
                      <w:color w:val="000000"/>
                      <w:sz w:val="18"/>
                      <w:szCs w:val="18"/>
                    </w:rPr>
                    <w:t>）中Ⅲ类标准</w:t>
                  </w:r>
                </w:p>
              </w:tc>
            </w:tr>
            <w:tr w14:paraId="451CB64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1" w:type="pct"/>
                  <w:noWrap w:val="0"/>
                  <w:vAlign w:val="center"/>
                </w:tcPr>
                <w:p w14:paraId="3108E3E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大坳水库</w:t>
                  </w:r>
                </w:p>
              </w:tc>
              <w:tc>
                <w:tcPr>
                  <w:tcW w:w="526" w:type="pct"/>
                  <w:noWrap w:val="0"/>
                  <w:vAlign w:val="center"/>
                </w:tcPr>
                <w:p w14:paraId="79D7127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eastAsia="zh-CN"/>
                    </w:rPr>
                  </w:pPr>
                  <w:r>
                    <w:rPr>
                      <w:rFonts w:hint="eastAsia" w:ascii="Times New Roman" w:hAnsi="Times New Roman" w:eastAsia="宋体" w:cs="Times New Roman"/>
                      <w:color w:val="000000"/>
                      <w:sz w:val="18"/>
                      <w:szCs w:val="18"/>
                      <w:highlight w:val="none"/>
                      <w:lang w:eastAsia="zh-CN"/>
                    </w:rPr>
                    <w:t>小型水库</w:t>
                  </w:r>
                </w:p>
              </w:tc>
              <w:tc>
                <w:tcPr>
                  <w:tcW w:w="447" w:type="pct"/>
                  <w:noWrap w:val="0"/>
                  <w:vAlign w:val="center"/>
                </w:tcPr>
                <w:p w14:paraId="76464159">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eastAsia" w:ascii="Times New Roman" w:hAnsi="Times New Roman" w:eastAsia="宋体" w:cs="Times New Roman"/>
                      <w:color w:val="000000"/>
                      <w:spacing w:val="0"/>
                      <w:position w:val="0"/>
                      <w:sz w:val="18"/>
                      <w:szCs w:val="18"/>
                      <w:highlight w:val="none"/>
                      <w:lang w:val="en-US" w:eastAsia="zh-CN"/>
                    </w:rPr>
                    <w:t>ES</w:t>
                  </w:r>
                </w:p>
              </w:tc>
              <w:tc>
                <w:tcPr>
                  <w:tcW w:w="553" w:type="pct"/>
                  <w:noWrap w:val="0"/>
                  <w:vAlign w:val="center"/>
                </w:tcPr>
                <w:p w14:paraId="22B6D08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eastAsia" w:cs="Times New Roman"/>
                      <w:color w:val="000000"/>
                      <w:spacing w:val="0"/>
                      <w:position w:val="0"/>
                      <w:sz w:val="18"/>
                      <w:szCs w:val="18"/>
                      <w:highlight w:val="none"/>
                      <w:lang w:val="en-US" w:eastAsia="zh-CN"/>
                    </w:rPr>
                    <w:t>168</w:t>
                  </w:r>
                  <w:r>
                    <w:rPr>
                      <w:rFonts w:hint="eastAsia" w:ascii="Times New Roman" w:hAnsi="Times New Roman" w:eastAsia="宋体" w:cs="Times New Roman"/>
                      <w:color w:val="000000"/>
                      <w:spacing w:val="0"/>
                      <w:position w:val="0"/>
                      <w:sz w:val="18"/>
                      <w:szCs w:val="18"/>
                      <w:highlight w:val="none"/>
                      <w:lang w:val="en-US" w:eastAsia="zh-CN"/>
                    </w:rPr>
                    <w:t>m</w:t>
                  </w:r>
                </w:p>
              </w:tc>
              <w:tc>
                <w:tcPr>
                  <w:tcW w:w="570" w:type="pct"/>
                  <w:vMerge w:val="restart"/>
                  <w:noWrap w:val="0"/>
                  <w:vAlign w:val="center"/>
                </w:tcPr>
                <w:p w14:paraId="55D8F67B">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rPr>
                  </w:pPr>
                  <w:r>
                    <w:rPr>
                      <w:rFonts w:hint="default" w:ascii="Times New Roman" w:hAnsi="Times New Roman" w:eastAsia="宋体" w:cs="Times New Roman"/>
                      <w:color w:val="000000"/>
                      <w:spacing w:val="0"/>
                      <w:position w:val="0"/>
                      <w:sz w:val="18"/>
                      <w:szCs w:val="18"/>
                      <w:highlight w:val="none"/>
                    </w:rPr>
                    <w:t>地表水</w:t>
                  </w:r>
                </w:p>
                <w:p w14:paraId="4ACF7A5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lang w:val="en-US" w:eastAsia="zh-CN"/>
                    </w:rPr>
                    <w:t>环境</w:t>
                  </w:r>
                </w:p>
              </w:tc>
              <w:tc>
                <w:tcPr>
                  <w:tcW w:w="1699" w:type="pct"/>
                  <w:noWrap w:val="0"/>
                  <w:vAlign w:val="center"/>
                </w:tcPr>
                <w:p w14:paraId="65F9835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rPr>
                  </w:pPr>
                  <w:r>
                    <w:rPr>
                      <w:rFonts w:hint="default" w:ascii="Times New Roman" w:hAnsi="Times New Roman" w:eastAsia="宋体" w:cs="Times New Roman"/>
                      <w:color w:val="000000"/>
                      <w:spacing w:val="0"/>
                      <w:position w:val="0"/>
                      <w:sz w:val="18"/>
                      <w:szCs w:val="18"/>
                      <w:highlight w:val="none"/>
                    </w:rPr>
                    <w:t>《地表水环境质量标准》（GB3838-2002）中的Ⅲ类标准</w:t>
                  </w:r>
                </w:p>
              </w:tc>
            </w:tr>
            <w:tr w14:paraId="615E158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1" w:type="pct"/>
                  <w:noWrap w:val="0"/>
                  <w:vAlign w:val="center"/>
                </w:tcPr>
                <w:p w14:paraId="7739FB82">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麻溪河</w:t>
                  </w:r>
                </w:p>
              </w:tc>
              <w:tc>
                <w:tcPr>
                  <w:tcW w:w="526" w:type="pct"/>
                  <w:noWrap w:val="0"/>
                  <w:vAlign w:val="center"/>
                </w:tcPr>
                <w:p w14:paraId="1B5D68F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eastAsia" w:ascii="Times New Roman" w:hAnsi="Times New Roman" w:eastAsia="宋体" w:cs="Times New Roman"/>
                      <w:color w:val="000000"/>
                      <w:sz w:val="18"/>
                      <w:szCs w:val="18"/>
                      <w:highlight w:val="none"/>
                      <w:lang w:eastAsia="zh-CN"/>
                    </w:rPr>
                    <w:t>小河</w:t>
                  </w:r>
                </w:p>
              </w:tc>
              <w:tc>
                <w:tcPr>
                  <w:tcW w:w="447" w:type="pct"/>
                  <w:noWrap w:val="0"/>
                  <w:vAlign w:val="center"/>
                </w:tcPr>
                <w:p w14:paraId="554A20A8">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eastAsia" w:ascii="Times New Roman" w:hAnsi="Times New Roman" w:eastAsia="宋体" w:cs="Times New Roman"/>
                      <w:color w:val="000000"/>
                      <w:spacing w:val="0"/>
                      <w:position w:val="0"/>
                      <w:sz w:val="18"/>
                      <w:szCs w:val="18"/>
                      <w:highlight w:val="none"/>
                      <w:lang w:val="en-US" w:eastAsia="zh-CN"/>
                    </w:rPr>
                    <w:t>S</w:t>
                  </w:r>
                </w:p>
              </w:tc>
              <w:tc>
                <w:tcPr>
                  <w:tcW w:w="553" w:type="pct"/>
                  <w:noWrap w:val="0"/>
                  <w:vAlign w:val="center"/>
                </w:tcPr>
                <w:p w14:paraId="3B5737B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eastAsia" w:cs="Times New Roman"/>
                      <w:color w:val="000000"/>
                      <w:spacing w:val="0"/>
                      <w:position w:val="0"/>
                      <w:sz w:val="18"/>
                      <w:szCs w:val="18"/>
                      <w:highlight w:val="none"/>
                      <w:lang w:val="en-US" w:eastAsia="zh-CN"/>
                    </w:rPr>
                    <w:t>相邻</w:t>
                  </w:r>
                </w:p>
              </w:tc>
              <w:tc>
                <w:tcPr>
                  <w:tcW w:w="570" w:type="pct"/>
                  <w:vMerge w:val="continue"/>
                  <w:noWrap w:val="0"/>
                  <w:vAlign w:val="center"/>
                </w:tcPr>
                <w:p w14:paraId="2D73B197">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rPr>
                  </w:pPr>
                </w:p>
              </w:tc>
              <w:tc>
                <w:tcPr>
                  <w:tcW w:w="1699" w:type="pct"/>
                  <w:noWrap w:val="0"/>
                  <w:vAlign w:val="center"/>
                </w:tcPr>
                <w:p w14:paraId="02F4680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rPr>
                  </w:pPr>
                  <w:r>
                    <w:rPr>
                      <w:rFonts w:hint="default" w:ascii="Times New Roman" w:hAnsi="Times New Roman" w:eastAsia="宋体" w:cs="Times New Roman"/>
                      <w:color w:val="000000"/>
                      <w:spacing w:val="0"/>
                      <w:position w:val="0"/>
                      <w:sz w:val="18"/>
                      <w:szCs w:val="18"/>
                      <w:highlight w:val="none"/>
                    </w:rPr>
                    <w:t>《地表水环境质量标准》（GB3838-2002）中的</w:t>
                  </w:r>
                  <w:r>
                    <w:rPr>
                      <w:rFonts w:hint="eastAsia" w:cs="Times New Roman"/>
                      <w:color w:val="000000"/>
                      <w:spacing w:val="0"/>
                      <w:position w:val="0"/>
                      <w:sz w:val="18"/>
                      <w:szCs w:val="18"/>
                      <w:highlight w:val="none"/>
                      <w:lang w:eastAsia="zh-CN"/>
                    </w:rPr>
                    <w:t>Ⅳ</w:t>
                  </w:r>
                  <w:r>
                    <w:rPr>
                      <w:rFonts w:hint="default" w:ascii="Times New Roman" w:hAnsi="Times New Roman" w:eastAsia="宋体" w:cs="Times New Roman"/>
                      <w:color w:val="000000"/>
                      <w:spacing w:val="0"/>
                      <w:position w:val="0"/>
                      <w:sz w:val="18"/>
                      <w:szCs w:val="18"/>
                      <w:highlight w:val="none"/>
                    </w:rPr>
                    <w:t>类标准</w:t>
                  </w:r>
                </w:p>
              </w:tc>
            </w:tr>
            <w:tr w14:paraId="4AEA6B8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1" w:type="pct"/>
                  <w:tcBorders>
                    <w:bottom w:val="single" w:color="000000" w:sz="12" w:space="0"/>
                  </w:tcBorders>
                  <w:noWrap w:val="0"/>
                  <w:vAlign w:val="center"/>
                </w:tcPr>
                <w:p w14:paraId="1618AF3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18"/>
                      <w:szCs w:val="18"/>
                      <w:highlight w:val="none"/>
                      <w:lang w:val="en-US" w:eastAsia="zh-CN"/>
                    </w:rPr>
                  </w:pPr>
                  <w:r>
                    <w:rPr>
                      <w:rFonts w:hint="default" w:ascii="Times New Roman" w:hAnsi="Times New Roman" w:eastAsia="宋体" w:cs="Times New Roman"/>
                      <w:color w:val="000000"/>
                      <w:spacing w:val="0"/>
                      <w:sz w:val="18"/>
                      <w:szCs w:val="18"/>
                      <w:highlight w:val="none"/>
                      <w:lang w:val="en-US" w:eastAsia="zh-CN"/>
                    </w:rPr>
                    <w:t>区域内陆生生物、水生生物及鱼类生境、生态系统完整和稳定</w:t>
                  </w:r>
                </w:p>
              </w:tc>
              <w:tc>
                <w:tcPr>
                  <w:tcW w:w="1528" w:type="pct"/>
                  <w:gridSpan w:val="3"/>
                  <w:tcBorders>
                    <w:bottom w:val="single" w:color="000000" w:sz="12" w:space="0"/>
                  </w:tcBorders>
                  <w:noWrap w:val="0"/>
                  <w:vAlign w:val="center"/>
                </w:tcPr>
                <w:p w14:paraId="27CD501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sz w:val="18"/>
                      <w:szCs w:val="18"/>
                      <w:highlight w:val="none"/>
                      <w:lang w:val="en-US" w:eastAsia="zh-CN"/>
                    </w:rPr>
                    <w:t>一般生态区域</w:t>
                  </w:r>
                </w:p>
              </w:tc>
              <w:tc>
                <w:tcPr>
                  <w:tcW w:w="570" w:type="pct"/>
                  <w:tcBorders>
                    <w:bottom w:val="single" w:color="000000" w:sz="12" w:space="0"/>
                  </w:tcBorders>
                  <w:noWrap w:val="0"/>
                  <w:vAlign w:val="center"/>
                </w:tcPr>
                <w:p w14:paraId="22C192E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lang w:val="en-US" w:eastAsia="zh-CN"/>
                    </w:rPr>
                    <w:t>生态环境</w:t>
                  </w:r>
                </w:p>
              </w:tc>
              <w:tc>
                <w:tcPr>
                  <w:tcW w:w="1699" w:type="pct"/>
                  <w:tcBorders>
                    <w:bottom w:val="single" w:color="000000" w:sz="12" w:space="0"/>
                  </w:tcBorders>
                  <w:noWrap w:val="0"/>
                  <w:vAlign w:val="center"/>
                </w:tcPr>
                <w:p w14:paraId="5CE003F1">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pacing w:val="0"/>
                      <w:position w:val="0"/>
                      <w:sz w:val="18"/>
                      <w:szCs w:val="18"/>
                      <w:highlight w:val="none"/>
                    </w:rPr>
                  </w:pPr>
                  <w:r>
                    <w:rPr>
                      <w:rFonts w:hint="default" w:ascii="Times New Roman" w:hAnsi="Times New Roman" w:eastAsia="宋体" w:cs="Times New Roman"/>
                      <w:color w:val="000000"/>
                      <w:spacing w:val="0"/>
                      <w:position w:val="0"/>
                      <w:sz w:val="18"/>
                      <w:szCs w:val="18"/>
                      <w:highlight w:val="none"/>
                      <w:lang w:val="en-US" w:eastAsia="zh-CN"/>
                    </w:rPr>
                    <w:t>/</w:t>
                  </w:r>
                </w:p>
              </w:tc>
            </w:tr>
          </w:tbl>
          <w:p w14:paraId="5690FBCE">
            <w:pPr>
              <w:pStyle w:val="23"/>
              <w:spacing w:before="8" w:line="460" w:lineRule="atLeast"/>
              <w:ind w:right="-29"/>
              <w:rPr>
                <w:rFonts w:hint="default" w:ascii="Times New Roman" w:hAnsi="Times New Roman" w:cs="Times New Roman"/>
                <w:sz w:val="24"/>
              </w:rPr>
            </w:pPr>
          </w:p>
        </w:tc>
      </w:tr>
      <w:tr w14:paraId="52AD1B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tcBorders>
              <w:tl2br w:val="nil"/>
              <w:tr2bl w:val="nil"/>
            </w:tcBorders>
            <w:noWrap w:val="0"/>
            <w:vAlign w:val="center"/>
          </w:tcPr>
          <w:p w14:paraId="531266ED">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调</w:t>
            </w:r>
          </w:p>
          <w:p w14:paraId="290E21A4">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查</w:t>
            </w:r>
          </w:p>
          <w:p w14:paraId="13636D94">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重</w:t>
            </w:r>
          </w:p>
          <w:p w14:paraId="471B8230">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cs="Times New Roman"/>
                <w:sz w:val="28"/>
              </w:rPr>
            </w:pPr>
            <w:r>
              <w:rPr>
                <w:rFonts w:hint="default" w:ascii="Times New Roman" w:hAnsi="Times New Roman" w:eastAsia="宋体" w:cs="Times New Roman"/>
                <w:sz w:val="28"/>
                <w:lang w:val="en-US" w:eastAsia="zh-CN"/>
              </w:rPr>
              <w:t>点</w:t>
            </w:r>
          </w:p>
        </w:tc>
        <w:tc>
          <w:tcPr>
            <w:tcW w:w="4596" w:type="pct"/>
            <w:tcBorders>
              <w:tl2br w:val="nil"/>
              <w:tr2bl w:val="nil"/>
            </w:tcBorders>
            <w:noWrap w:val="0"/>
            <w:vAlign w:val="top"/>
          </w:tcPr>
          <w:p w14:paraId="5DE64997">
            <w:pPr>
              <w:pStyle w:val="23"/>
              <w:keepNext w:val="0"/>
              <w:keepLines w:val="0"/>
              <w:pageBreakBefore w:val="0"/>
              <w:widowControl w:val="0"/>
              <w:kinsoku/>
              <w:wordWrap/>
              <w:overflowPunct/>
              <w:topLinePunct w:val="0"/>
              <w:autoSpaceDE w:val="0"/>
              <w:autoSpaceDN w:val="0"/>
              <w:bidi w:val="0"/>
              <w:adjustRightInd/>
              <w:snapToGrid/>
              <w:spacing w:line="360" w:lineRule="auto"/>
              <w:ind w:firstLine="472" w:firstLineChars="200"/>
              <w:jc w:val="both"/>
              <w:textAlignment w:val="auto"/>
              <w:rPr>
                <w:rFonts w:hint="default" w:ascii="Times New Roman" w:hAnsi="Times New Roman" w:cs="Times New Roman"/>
                <w:sz w:val="24"/>
              </w:rPr>
            </w:pPr>
            <w:r>
              <w:rPr>
                <w:rFonts w:hint="default" w:ascii="Times New Roman" w:hAnsi="Times New Roman" w:cs="Times New Roman"/>
                <w:spacing w:val="-2"/>
                <w:sz w:val="24"/>
              </w:rPr>
              <w:t>调查项目的</w:t>
            </w:r>
            <w:r>
              <w:rPr>
                <w:rFonts w:hint="default" w:ascii="Times New Roman" w:hAnsi="Times New Roman" w:cs="Times New Roman"/>
                <w:spacing w:val="-1"/>
                <w:sz w:val="24"/>
              </w:rPr>
              <w:t>实际</w:t>
            </w:r>
            <w:r>
              <w:rPr>
                <w:rFonts w:hint="default" w:ascii="Times New Roman" w:hAnsi="Times New Roman" w:cs="Times New Roman"/>
                <w:spacing w:val="-2"/>
                <w:sz w:val="24"/>
              </w:rPr>
              <w:t>建设情况，了解项目的</w:t>
            </w:r>
            <w:r>
              <w:rPr>
                <w:rFonts w:hint="eastAsia" w:ascii="Times New Roman" w:hAnsi="Times New Roman" w:cs="Times New Roman"/>
                <w:spacing w:val="-2"/>
                <w:sz w:val="24"/>
                <w:lang w:val="en-US" w:eastAsia="zh-CN"/>
              </w:rPr>
              <w:t>变动</w:t>
            </w:r>
            <w:r>
              <w:rPr>
                <w:rFonts w:hint="default" w:ascii="Times New Roman" w:hAnsi="Times New Roman" w:cs="Times New Roman"/>
                <w:spacing w:val="-2"/>
                <w:sz w:val="24"/>
              </w:rPr>
              <w:t>情况，分析所产生的实际环</w:t>
            </w:r>
            <w:r>
              <w:rPr>
                <w:rFonts w:hint="default" w:ascii="Times New Roman" w:hAnsi="Times New Roman" w:cs="Times New Roman"/>
                <w:spacing w:val="-13"/>
                <w:sz w:val="24"/>
              </w:rPr>
              <w:t>境影响。调查项目在</w:t>
            </w:r>
            <w:r>
              <w:rPr>
                <w:rFonts w:hint="eastAsia" w:ascii="Times New Roman" w:hAnsi="Times New Roman" w:cs="Times New Roman"/>
                <w:spacing w:val="-13"/>
                <w:sz w:val="24"/>
                <w:lang w:val="en-US" w:eastAsia="zh-CN"/>
              </w:rPr>
              <w:t>施工期</w:t>
            </w:r>
            <w:r>
              <w:rPr>
                <w:rFonts w:hint="default" w:ascii="Times New Roman" w:hAnsi="Times New Roman" w:cs="Times New Roman"/>
                <w:spacing w:val="-13"/>
                <w:sz w:val="24"/>
              </w:rPr>
              <w:t>、</w:t>
            </w:r>
            <w:r>
              <w:rPr>
                <w:rFonts w:hint="eastAsia" w:ascii="Times New Roman" w:hAnsi="Times New Roman" w:cs="Times New Roman"/>
                <w:spacing w:val="-13"/>
                <w:sz w:val="24"/>
                <w:lang w:val="en-US" w:eastAsia="zh-CN"/>
              </w:rPr>
              <w:t>试运营期环评文件</w:t>
            </w:r>
            <w:r>
              <w:rPr>
                <w:rFonts w:hint="default" w:ascii="Times New Roman" w:hAnsi="Times New Roman" w:cs="Times New Roman"/>
                <w:spacing w:val="-13"/>
                <w:sz w:val="24"/>
              </w:rPr>
              <w:t>及</w:t>
            </w:r>
            <w:r>
              <w:rPr>
                <w:rFonts w:hint="eastAsia" w:ascii="Times New Roman" w:hAnsi="Times New Roman" w:cs="Times New Roman"/>
                <w:spacing w:val="-13"/>
                <w:sz w:val="24"/>
                <w:lang w:val="en-US" w:eastAsia="zh-CN"/>
              </w:rPr>
              <w:t>生态环境</w:t>
            </w:r>
            <w:r>
              <w:rPr>
                <w:rFonts w:hint="default" w:ascii="Times New Roman" w:hAnsi="Times New Roman" w:cs="Times New Roman"/>
                <w:spacing w:val="-13"/>
                <w:sz w:val="24"/>
              </w:rPr>
              <w:t>主管部门批复落实情况。</w:t>
            </w:r>
          </w:p>
          <w:p w14:paraId="3B199204">
            <w:pPr>
              <w:pStyle w:val="23"/>
              <w:keepNext w:val="0"/>
              <w:keepLines w:val="0"/>
              <w:pageBreakBefore w:val="0"/>
              <w:widowControl w:val="0"/>
              <w:kinsoku/>
              <w:wordWrap/>
              <w:overflowPunct/>
              <w:topLinePunct w:val="0"/>
              <w:autoSpaceDE w:val="0"/>
              <w:autoSpaceDN w:val="0"/>
              <w:bidi w:val="0"/>
              <w:adjustRightInd/>
              <w:snapToGrid/>
              <w:spacing w:line="360" w:lineRule="auto"/>
              <w:ind w:firstLine="436" w:firstLineChars="200"/>
              <w:jc w:val="both"/>
              <w:textAlignment w:val="auto"/>
              <w:rPr>
                <w:rFonts w:hint="default" w:ascii="Times New Roman" w:hAnsi="Times New Roman" w:cs="Times New Roman"/>
                <w:sz w:val="24"/>
              </w:rPr>
            </w:pPr>
            <w:r>
              <w:rPr>
                <w:rFonts w:hint="default" w:ascii="Times New Roman" w:hAnsi="Times New Roman" w:cs="Times New Roman"/>
                <w:spacing w:val="-11"/>
                <w:sz w:val="24"/>
              </w:rPr>
              <w:t>通过对工程所在的区域的大气、水、声、</w:t>
            </w:r>
            <w:r>
              <w:rPr>
                <w:rFonts w:hint="eastAsia" w:ascii="Times New Roman" w:hAnsi="Times New Roman" w:cs="Times New Roman"/>
                <w:spacing w:val="-11"/>
                <w:sz w:val="24"/>
                <w:lang w:val="en-US" w:eastAsia="zh-CN"/>
              </w:rPr>
              <w:t>固废及</w:t>
            </w:r>
            <w:r>
              <w:rPr>
                <w:rFonts w:hint="default" w:ascii="Times New Roman" w:hAnsi="Times New Roman" w:cs="Times New Roman"/>
                <w:spacing w:val="-11"/>
                <w:sz w:val="24"/>
              </w:rPr>
              <w:t>生态环境影响进行调查和分析，</w:t>
            </w:r>
            <w:r>
              <w:rPr>
                <w:rFonts w:hint="default" w:ascii="Times New Roman" w:hAnsi="Times New Roman" w:cs="Times New Roman"/>
                <w:spacing w:val="4"/>
                <w:sz w:val="24"/>
              </w:rPr>
              <w:t>针对该工程已产生的实际环境问题及可能存在的潜在环境影响提出切实可</w:t>
            </w:r>
            <w:r>
              <w:rPr>
                <w:rFonts w:hint="default" w:ascii="Times New Roman" w:hAnsi="Times New Roman" w:cs="Times New Roman"/>
                <w:sz w:val="24"/>
              </w:rPr>
              <w:t>行的补救措施，对已实施的尚不完善的措施提出改进意见。各环境要素的调查重点</w:t>
            </w:r>
            <w:r>
              <w:rPr>
                <w:rFonts w:hint="default" w:ascii="Times New Roman" w:hAnsi="Times New Roman" w:cs="Times New Roman"/>
                <w:sz w:val="24"/>
                <w:lang w:val="en-US" w:eastAsia="zh-CN"/>
              </w:rPr>
              <w:t>如下</w:t>
            </w:r>
            <w:r>
              <w:rPr>
                <w:rFonts w:hint="default" w:ascii="Times New Roman" w:hAnsi="Times New Roman" w:cs="Times New Roman"/>
                <w:sz w:val="24"/>
              </w:rPr>
              <w:t>：</w:t>
            </w:r>
          </w:p>
          <w:p w14:paraId="56C21E1F">
            <w:pPr>
              <w:pStyle w:val="23"/>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sz w:val="24"/>
              </w:rPr>
            </w:pPr>
            <w:r>
              <w:rPr>
                <w:rFonts w:hint="eastAsia" w:cs="Times New Roman"/>
                <w:b/>
                <w:sz w:val="24"/>
                <w:lang w:val="en-US" w:eastAsia="zh-CN"/>
              </w:rPr>
              <w:t>1、</w:t>
            </w:r>
            <w:r>
              <w:rPr>
                <w:rFonts w:hint="default" w:ascii="Times New Roman" w:hAnsi="Times New Roman" w:cs="Times New Roman"/>
                <w:b/>
                <w:sz w:val="24"/>
              </w:rPr>
              <w:t>生态环境调查重点</w:t>
            </w:r>
          </w:p>
          <w:p w14:paraId="6C97D9BF">
            <w:pPr>
              <w:pStyle w:val="23"/>
              <w:keepNext w:val="0"/>
              <w:keepLines w:val="0"/>
              <w:pageBreakBefore w:val="0"/>
              <w:widowControl w:val="0"/>
              <w:kinsoku/>
              <w:wordWrap/>
              <w:overflowPunct/>
              <w:topLinePunct w:val="0"/>
              <w:autoSpaceDE w:val="0"/>
              <w:autoSpaceDN w:val="0"/>
              <w:bidi w:val="0"/>
              <w:adjustRightInd/>
              <w:snapToGrid/>
              <w:spacing w:line="360" w:lineRule="auto"/>
              <w:ind w:firstLine="472" w:firstLineChars="200"/>
              <w:jc w:val="both"/>
              <w:textAlignment w:val="auto"/>
              <w:rPr>
                <w:rFonts w:hint="default" w:ascii="Times New Roman" w:hAnsi="Times New Roman" w:cs="Times New Roman"/>
                <w:sz w:val="24"/>
              </w:rPr>
            </w:pPr>
            <w:r>
              <w:rPr>
                <w:rFonts w:hint="default" w:ascii="Times New Roman" w:hAnsi="Times New Roman" w:cs="Times New Roman"/>
                <w:spacing w:val="-2"/>
                <w:sz w:val="24"/>
              </w:rPr>
              <w:t>生态环境影响重点调查工程的永久和临时占地设置情况</w:t>
            </w:r>
            <w:r>
              <w:rPr>
                <w:rFonts w:hint="eastAsia" w:ascii="Times New Roman" w:hAnsi="Times New Roman" w:cs="Times New Roman"/>
                <w:spacing w:val="-2"/>
                <w:sz w:val="24"/>
                <w:lang w:val="en-US" w:eastAsia="zh-CN"/>
              </w:rPr>
              <w:t>及矿区开采情况</w:t>
            </w:r>
            <w:r>
              <w:rPr>
                <w:rFonts w:hint="default" w:ascii="Times New Roman" w:hAnsi="Times New Roman" w:cs="Times New Roman"/>
                <w:spacing w:val="-2"/>
                <w:sz w:val="24"/>
              </w:rPr>
              <w:t>，工程永久占地</w:t>
            </w:r>
            <w:r>
              <w:rPr>
                <w:rFonts w:hint="eastAsia" w:ascii="Times New Roman" w:hAnsi="Times New Roman" w:cs="Times New Roman"/>
                <w:spacing w:val="-2"/>
                <w:sz w:val="24"/>
                <w:lang w:val="en-US" w:eastAsia="zh-CN"/>
              </w:rPr>
              <w:t>及矿区开采</w:t>
            </w:r>
            <w:r>
              <w:rPr>
                <w:rFonts w:hint="default" w:ascii="Times New Roman" w:hAnsi="Times New Roman" w:cs="Times New Roman"/>
                <w:spacing w:val="-4"/>
                <w:sz w:val="24"/>
              </w:rPr>
              <w:t>的植被补偿情况，各项水土保持工程的水土流失防治效果</w:t>
            </w:r>
            <w:r>
              <w:rPr>
                <w:rFonts w:hint="eastAsia" w:ascii="Times New Roman" w:hAnsi="Times New Roman" w:cs="Times New Roman"/>
                <w:spacing w:val="-4"/>
                <w:sz w:val="24"/>
                <w:lang w:eastAsia="zh-CN"/>
              </w:rPr>
              <w:t>，</w:t>
            </w:r>
            <w:r>
              <w:rPr>
                <w:rFonts w:hint="default" w:ascii="Times New Roman" w:hAnsi="Times New Roman" w:cs="Times New Roman"/>
                <w:spacing w:val="-4"/>
                <w:sz w:val="24"/>
              </w:rPr>
              <w:t>临时占地已采取</w:t>
            </w:r>
            <w:r>
              <w:rPr>
                <w:rFonts w:hint="default" w:ascii="Times New Roman" w:hAnsi="Times New Roman" w:cs="Times New Roman"/>
                <w:sz w:val="24"/>
              </w:rPr>
              <w:t>的生态恢复措施。</w:t>
            </w:r>
          </w:p>
          <w:p w14:paraId="0ECD8E86">
            <w:pPr>
              <w:pStyle w:val="23"/>
              <w:keepNext w:val="0"/>
              <w:keepLines w:val="0"/>
              <w:pageBreakBefore w:val="0"/>
              <w:widowControl w:val="0"/>
              <w:kinsoku/>
              <w:wordWrap/>
              <w:overflowPunct/>
              <w:topLinePunct w:val="0"/>
              <w:autoSpaceDE w:val="0"/>
              <w:autoSpaceDN w:val="0"/>
              <w:bidi w:val="0"/>
              <w:adjustRightInd/>
              <w:snapToGrid/>
              <w:spacing w:line="360" w:lineRule="auto"/>
              <w:ind w:firstLine="468" w:firstLineChars="200"/>
              <w:jc w:val="both"/>
              <w:textAlignment w:val="auto"/>
              <w:rPr>
                <w:rFonts w:hint="default" w:ascii="Times New Roman" w:hAnsi="Times New Roman" w:eastAsia="宋体" w:cs="Times New Roman"/>
                <w:sz w:val="24"/>
                <w:lang w:val="en-US" w:eastAsia="zh-CN"/>
              </w:rPr>
            </w:pPr>
            <w:r>
              <w:rPr>
                <w:rFonts w:hint="default" w:ascii="Times New Roman" w:hAnsi="Times New Roman" w:cs="Times New Roman"/>
                <w:spacing w:val="-3"/>
                <w:sz w:val="24"/>
              </w:rPr>
              <w:t>本项目的</w:t>
            </w:r>
            <w:r>
              <w:rPr>
                <w:rFonts w:hint="default" w:ascii="Times New Roman" w:hAnsi="Times New Roman" w:cs="Times New Roman"/>
                <w:spacing w:val="-1"/>
                <w:sz w:val="24"/>
              </w:rPr>
              <w:t>生态环境</w:t>
            </w:r>
            <w:r>
              <w:rPr>
                <w:rFonts w:hint="default" w:ascii="Times New Roman" w:hAnsi="Times New Roman" w:cs="Times New Roman"/>
                <w:spacing w:val="-3"/>
                <w:sz w:val="24"/>
              </w:rPr>
              <w:t>保护目标为：项目占地区域的原始自然生态系统，包</w:t>
            </w:r>
            <w:r>
              <w:rPr>
                <w:rFonts w:hint="default" w:ascii="Times New Roman" w:hAnsi="Times New Roman" w:cs="Times New Roman"/>
                <w:spacing w:val="-4"/>
                <w:sz w:val="24"/>
              </w:rPr>
              <w:t>括</w:t>
            </w:r>
            <w:r>
              <w:rPr>
                <w:rFonts w:hint="eastAsia" w:ascii="Times New Roman" w:hAnsi="Times New Roman" w:cs="Times New Roman"/>
                <w:spacing w:val="-4"/>
                <w:sz w:val="24"/>
                <w:lang w:val="en-US" w:eastAsia="zh-CN"/>
              </w:rPr>
              <w:t>植物、动物、水生生物</w:t>
            </w:r>
            <w:r>
              <w:rPr>
                <w:rFonts w:hint="default" w:ascii="Times New Roman" w:hAnsi="Times New Roman" w:cs="Times New Roman"/>
                <w:spacing w:val="-4"/>
                <w:sz w:val="24"/>
              </w:rPr>
              <w:t>等；施工占地</w:t>
            </w:r>
            <w:r>
              <w:rPr>
                <w:rFonts w:hint="default" w:ascii="Times New Roman" w:hAnsi="Times New Roman" w:cs="Times New Roman"/>
                <w:sz w:val="24"/>
              </w:rPr>
              <w:t>（</w:t>
            </w:r>
            <w:r>
              <w:rPr>
                <w:rFonts w:hint="default" w:ascii="Times New Roman" w:hAnsi="Times New Roman" w:cs="Times New Roman"/>
                <w:spacing w:val="-3"/>
                <w:sz w:val="24"/>
              </w:rPr>
              <w:t>包括施工营地、料场等</w:t>
            </w:r>
            <w:r>
              <w:rPr>
                <w:rFonts w:hint="default" w:ascii="Times New Roman" w:hAnsi="Times New Roman" w:cs="Times New Roman"/>
                <w:sz w:val="24"/>
              </w:rPr>
              <w:t>临时性占地范围内</w:t>
            </w:r>
            <w:r>
              <w:rPr>
                <w:rFonts w:hint="eastAsia" w:ascii="Times New Roman" w:hAnsi="Times New Roman" w:cs="Times New Roman"/>
                <w:sz w:val="24"/>
                <w:lang w:eastAsia="zh-CN"/>
              </w:rPr>
              <w:t>）</w:t>
            </w:r>
            <w:r>
              <w:rPr>
                <w:rFonts w:hint="default" w:ascii="Times New Roman" w:hAnsi="Times New Roman" w:cs="Times New Roman"/>
                <w:sz w:val="24"/>
              </w:rPr>
              <w:t>所涉及的自然生态环境</w:t>
            </w:r>
            <w:r>
              <w:rPr>
                <w:rFonts w:hint="eastAsia" w:ascii="Times New Roman" w:hAnsi="Times New Roman" w:cs="Times New Roman"/>
                <w:sz w:val="24"/>
                <w:lang w:eastAsia="zh-CN"/>
              </w:rPr>
              <w:t>；水土保持</w:t>
            </w:r>
            <w:r>
              <w:rPr>
                <w:rFonts w:hint="eastAsia" w:ascii="Times New Roman" w:hAnsi="Times New Roman" w:cs="Times New Roman"/>
                <w:sz w:val="24"/>
                <w:lang w:val="en-US" w:eastAsia="zh-CN"/>
              </w:rPr>
              <w:t>情况。</w:t>
            </w:r>
          </w:p>
          <w:p w14:paraId="403E9844">
            <w:pPr>
              <w:pStyle w:val="23"/>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sz w:val="24"/>
              </w:rPr>
            </w:pPr>
            <w:r>
              <w:rPr>
                <w:rFonts w:hint="eastAsia" w:cs="Times New Roman"/>
                <w:b/>
                <w:sz w:val="24"/>
                <w:lang w:val="en-US" w:eastAsia="zh-CN"/>
              </w:rPr>
              <w:t>2、</w:t>
            </w:r>
            <w:r>
              <w:rPr>
                <w:rFonts w:hint="default" w:ascii="Times New Roman" w:hAnsi="Times New Roman" w:cs="Times New Roman"/>
                <w:b/>
                <w:sz w:val="24"/>
              </w:rPr>
              <w:t>地表水环境调查重点</w:t>
            </w:r>
          </w:p>
          <w:p w14:paraId="3BFA33CC">
            <w:pPr>
              <w:pStyle w:val="23"/>
              <w:keepNext w:val="0"/>
              <w:keepLines w:val="0"/>
              <w:pageBreakBefore w:val="0"/>
              <w:widowControl w:val="0"/>
              <w:kinsoku/>
              <w:wordWrap/>
              <w:overflowPunct/>
              <w:topLinePunct w:val="0"/>
              <w:autoSpaceDE w:val="0"/>
              <w:autoSpaceDN w:val="0"/>
              <w:bidi w:val="0"/>
              <w:adjustRightInd/>
              <w:snapToGrid/>
              <w:spacing w:line="360" w:lineRule="auto"/>
              <w:ind w:firstLine="476" w:firstLineChars="200"/>
              <w:jc w:val="both"/>
              <w:textAlignment w:val="auto"/>
              <w:rPr>
                <w:rFonts w:hint="default" w:ascii="Times New Roman" w:hAnsi="Times New Roman" w:cs="Times New Roman"/>
                <w:sz w:val="24"/>
              </w:rPr>
            </w:pPr>
            <w:r>
              <w:rPr>
                <w:rFonts w:hint="default" w:ascii="Times New Roman" w:hAnsi="Times New Roman" w:cs="Times New Roman"/>
                <w:spacing w:val="-1"/>
                <w:sz w:val="24"/>
              </w:rPr>
              <w:t>地表水环境影响将重点调查工程区域周边河流分布情况，本项目的周边</w:t>
            </w:r>
            <w:r>
              <w:rPr>
                <w:rFonts w:hint="default" w:ascii="Times New Roman" w:hAnsi="Times New Roman" w:cs="Times New Roman"/>
                <w:spacing w:val="-6"/>
                <w:sz w:val="24"/>
              </w:rPr>
              <w:t>水体环境质量状况；工程废</w:t>
            </w:r>
            <w:r>
              <w:rPr>
                <w:rFonts w:hint="default" w:ascii="Times New Roman" w:hAnsi="Times New Roman" w:cs="Times New Roman"/>
                <w:sz w:val="24"/>
              </w:rPr>
              <w:t>（污</w:t>
            </w:r>
            <w:r>
              <w:rPr>
                <w:rFonts w:hint="default" w:ascii="Times New Roman" w:hAnsi="Times New Roman" w:cs="Times New Roman"/>
                <w:spacing w:val="-29"/>
                <w:sz w:val="24"/>
              </w:rPr>
              <w:t>）</w:t>
            </w:r>
            <w:r>
              <w:rPr>
                <w:rFonts w:hint="default" w:ascii="Times New Roman" w:hAnsi="Times New Roman" w:cs="Times New Roman"/>
                <w:spacing w:val="-8"/>
                <w:sz w:val="24"/>
              </w:rPr>
              <w:t>水产生量、采取的处理设施、排放量、</w:t>
            </w:r>
            <w:r>
              <w:rPr>
                <w:rFonts w:hint="default" w:ascii="Times New Roman" w:hAnsi="Times New Roman" w:cs="Times New Roman"/>
                <w:sz w:val="24"/>
              </w:rPr>
              <w:t>排放去向及对周边纳污水体的影响。</w:t>
            </w:r>
          </w:p>
          <w:p w14:paraId="5D765BDC">
            <w:pPr>
              <w:pStyle w:val="23"/>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sz w:val="24"/>
              </w:rPr>
            </w:pPr>
            <w:r>
              <w:rPr>
                <w:rFonts w:hint="eastAsia" w:cs="Times New Roman"/>
                <w:b/>
                <w:sz w:val="24"/>
                <w:lang w:val="en-US" w:eastAsia="zh-CN"/>
              </w:rPr>
              <w:t>3、</w:t>
            </w:r>
            <w:r>
              <w:rPr>
                <w:rFonts w:hint="default" w:ascii="Times New Roman" w:hAnsi="Times New Roman" w:cs="Times New Roman"/>
                <w:b/>
                <w:sz w:val="24"/>
              </w:rPr>
              <w:t>噪声、大气环境调查重点</w:t>
            </w:r>
          </w:p>
          <w:p w14:paraId="28CE4755">
            <w:pPr>
              <w:pStyle w:val="23"/>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jc w:val="both"/>
              <w:textAlignment w:val="auto"/>
              <w:rPr>
                <w:rFonts w:hint="default" w:ascii="Times New Roman" w:hAnsi="Times New Roman" w:cs="Times New Roman"/>
                <w:sz w:val="24"/>
              </w:rPr>
            </w:pPr>
            <w:r>
              <w:rPr>
                <w:rFonts w:hint="default" w:ascii="Times New Roman" w:hAnsi="Times New Roman" w:cs="Times New Roman"/>
                <w:spacing w:val="-5"/>
                <w:sz w:val="24"/>
              </w:rPr>
              <w:t>分析对比工程建设前后的噪声、环境空气质量变化，调查环境影响报告表中提出的噪声、废气防治措施的落实情况，对</w:t>
            </w:r>
            <w:r>
              <w:rPr>
                <w:rFonts w:hint="default" w:ascii="Times New Roman" w:hAnsi="Times New Roman" w:cs="Times New Roman"/>
                <w:sz w:val="24"/>
              </w:rPr>
              <w:t>超标的敏感目标提出防治影响的补救措施。重点是</w:t>
            </w:r>
            <w:r>
              <w:rPr>
                <w:rFonts w:hint="eastAsia" w:ascii="Times New Roman" w:hAnsi="Times New Roman" w:cs="Times New Roman"/>
                <w:sz w:val="24"/>
                <w:lang w:val="en-US" w:eastAsia="zh-CN"/>
              </w:rPr>
              <w:t>废气、</w:t>
            </w:r>
            <w:r>
              <w:rPr>
                <w:rFonts w:hint="default" w:ascii="Times New Roman" w:hAnsi="Times New Roman" w:cs="Times New Roman"/>
                <w:sz w:val="24"/>
              </w:rPr>
              <w:t>周边噪声达标排放</w:t>
            </w:r>
            <w:r>
              <w:rPr>
                <w:rFonts w:hint="eastAsia" w:ascii="Times New Roman" w:hAnsi="Times New Roman" w:cs="Times New Roman"/>
                <w:sz w:val="24"/>
                <w:lang w:val="en-US" w:eastAsia="zh-CN"/>
              </w:rPr>
              <w:t>情况</w:t>
            </w:r>
            <w:r>
              <w:rPr>
                <w:rFonts w:hint="default" w:ascii="Times New Roman" w:hAnsi="Times New Roman" w:cs="Times New Roman"/>
                <w:sz w:val="24"/>
              </w:rPr>
              <w:t>。</w:t>
            </w:r>
          </w:p>
          <w:p w14:paraId="6B7DC281">
            <w:pPr>
              <w:pStyle w:val="23"/>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sz w:val="24"/>
              </w:rPr>
            </w:pPr>
            <w:r>
              <w:rPr>
                <w:rFonts w:hint="eastAsia" w:cs="Times New Roman"/>
                <w:b/>
                <w:sz w:val="24"/>
                <w:lang w:val="en-US" w:eastAsia="zh-CN"/>
              </w:rPr>
              <w:t>4、</w:t>
            </w:r>
            <w:r>
              <w:rPr>
                <w:rFonts w:hint="default" w:ascii="Times New Roman" w:hAnsi="Times New Roman" w:eastAsia="宋体" w:cs="Times New Roman"/>
                <w:b/>
                <w:sz w:val="24"/>
              </w:rPr>
              <w:t>固体废物污染环境调查重点</w:t>
            </w:r>
          </w:p>
          <w:p w14:paraId="6119D3FE">
            <w:pPr>
              <w:pStyle w:val="23"/>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jc w:val="both"/>
              <w:textAlignment w:val="auto"/>
              <w:rPr>
                <w:rFonts w:hint="eastAsia" w:ascii="Times New Roman" w:hAnsi="Times New Roman" w:eastAsia="宋体" w:cs="Times New Roman"/>
                <w:spacing w:val="-5"/>
                <w:sz w:val="24"/>
                <w:lang w:eastAsia="zh-CN"/>
              </w:rPr>
            </w:pPr>
            <w:r>
              <w:rPr>
                <w:rFonts w:hint="default" w:ascii="Times New Roman" w:hAnsi="Times New Roman" w:eastAsia="宋体" w:cs="Times New Roman"/>
                <w:spacing w:val="-5"/>
                <w:sz w:val="24"/>
              </w:rPr>
              <w:t>固体废物污染环境重点调查</w:t>
            </w:r>
            <w:r>
              <w:rPr>
                <w:rFonts w:hint="eastAsia" w:ascii="Times New Roman" w:hAnsi="Times New Roman" w:eastAsia="宋体" w:cs="Times New Roman"/>
                <w:spacing w:val="-5"/>
                <w:sz w:val="24"/>
                <w:lang w:val="en-US" w:eastAsia="zh-CN"/>
              </w:rPr>
              <w:t>施工期、</w:t>
            </w:r>
            <w:r>
              <w:rPr>
                <w:rFonts w:hint="default" w:ascii="Times New Roman" w:hAnsi="Times New Roman" w:eastAsia="宋体" w:cs="Times New Roman"/>
                <w:spacing w:val="-5"/>
                <w:sz w:val="24"/>
              </w:rPr>
              <w:t>运营期间固体废物产生情况、采取的处理措施及处置去向，重点是</w:t>
            </w:r>
            <w:r>
              <w:rPr>
                <w:rFonts w:hint="eastAsia" w:cs="Times New Roman"/>
                <w:spacing w:val="-5"/>
                <w:sz w:val="24"/>
                <w:lang w:val="en-US" w:eastAsia="zh-CN"/>
              </w:rPr>
              <w:t>一般固废的</w:t>
            </w:r>
            <w:r>
              <w:rPr>
                <w:rFonts w:hint="default" w:ascii="Times New Roman" w:hAnsi="Times New Roman" w:eastAsia="宋体" w:cs="Times New Roman"/>
                <w:spacing w:val="-5"/>
                <w:sz w:val="24"/>
              </w:rPr>
              <w:t>处置</w:t>
            </w:r>
            <w:r>
              <w:rPr>
                <w:rFonts w:hint="eastAsia" w:cs="Times New Roman"/>
                <w:spacing w:val="-5"/>
                <w:sz w:val="24"/>
                <w:lang w:val="en-US" w:eastAsia="zh-CN"/>
              </w:rPr>
              <w:t>去向</w:t>
            </w:r>
            <w:r>
              <w:rPr>
                <w:rFonts w:hint="default" w:ascii="Times New Roman" w:hAnsi="Times New Roman" w:eastAsia="宋体" w:cs="Times New Roman"/>
                <w:spacing w:val="-5"/>
                <w:sz w:val="24"/>
              </w:rPr>
              <w:t>。</w:t>
            </w:r>
          </w:p>
          <w:p w14:paraId="48CC1E9C">
            <w:pPr>
              <w:pStyle w:val="23"/>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jc w:val="both"/>
              <w:textAlignment w:val="auto"/>
              <w:rPr>
                <w:rFonts w:hint="eastAsia" w:ascii="Times New Roman" w:hAnsi="Times New Roman" w:eastAsia="宋体" w:cs="Times New Roman"/>
                <w:spacing w:val="-5"/>
                <w:sz w:val="24"/>
                <w:lang w:eastAsia="zh-CN"/>
              </w:rPr>
            </w:pPr>
          </w:p>
          <w:p w14:paraId="71F2D0DE">
            <w:pPr>
              <w:pStyle w:val="23"/>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jc w:val="both"/>
              <w:textAlignment w:val="auto"/>
              <w:rPr>
                <w:rFonts w:hint="eastAsia" w:ascii="Times New Roman" w:hAnsi="Times New Roman" w:eastAsia="宋体" w:cs="Times New Roman"/>
                <w:spacing w:val="-5"/>
                <w:sz w:val="24"/>
                <w:lang w:val="en-US" w:eastAsia="zh-CN"/>
              </w:rPr>
            </w:pPr>
          </w:p>
        </w:tc>
      </w:tr>
    </w:tbl>
    <w:p w14:paraId="5862E0C7">
      <w:pPr>
        <w:pStyle w:val="3"/>
        <w:spacing w:before="0"/>
        <w:ind w:left="0" w:leftChars="0" w:firstLine="0" w:firstLineChars="0"/>
        <w:outlineLvl w:val="0"/>
        <w:rPr>
          <w:rFonts w:hint="default" w:ascii="Times New Roman" w:hAnsi="Times New Roman" w:eastAsia="宋体" w:cs="Times New Roman"/>
          <w:b/>
          <w:bCs/>
        </w:rPr>
        <w:sectPr>
          <w:pgSz w:w="11911" w:h="16838"/>
          <w:pgMar w:top="1440" w:right="1361" w:bottom="1440" w:left="1361" w:header="964" w:footer="918" w:gutter="0"/>
          <w:pgBorders>
            <w:top w:val="none" w:sz="0" w:space="0"/>
            <w:left w:val="none" w:sz="0" w:space="0"/>
            <w:bottom w:val="none" w:sz="0" w:space="0"/>
            <w:right w:val="none" w:sz="0" w:space="0"/>
          </w:pgBorders>
          <w:pgNumType w:fmt="decimal"/>
          <w:cols w:space="720" w:num="1"/>
          <w:rtlGutter w:val="0"/>
          <w:docGrid w:linePitch="0" w:charSpace="0"/>
        </w:sectPr>
      </w:pPr>
    </w:p>
    <w:p w14:paraId="70266CF2">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kern w:val="0"/>
          <w:sz w:val="32"/>
          <w:szCs w:val="56"/>
          <w:lang w:val="en-US" w:bidi="ar-SA"/>
        </w:rPr>
      </w:pPr>
      <w:bookmarkStart w:id="8" w:name="_Toc31553"/>
      <w:bookmarkStart w:id="9" w:name="_Toc16623"/>
      <w:r>
        <w:rPr>
          <w:rFonts w:hint="default" w:ascii="Times New Roman" w:hAnsi="Times New Roman" w:eastAsia="宋体" w:cs="Times New Roman"/>
          <w:b/>
          <w:bCs/>
          <w:kern w:val="0"/>
          <w:sz w:val="32"/>
          <w:szCs w:val="56"/>
          <w:lang w:val="en-US" w:bidi="ar-SA"/>
        </w:rPr>
        <w:t xml:space="preserve">表3 </w:t>
      </w:r>
      <w:r>
        <w:rPr>
          <w:rFonts w:hint="default" w:ascii="Times New Roman" w:hAnsi="Times New Roman" w:eastAsia="宋体" w:cs="Times New Roman"/>
          <w:b/>
          <w:bCs/>
          <w:kern w:val="0"/>
          <w:sz w:val="32"/>
          <w:szCs w:val="56"/>
          <w:lang w:val="en-US" w:eastAsia="zh-CN" w:bidi="ar-SA"/>
        </w:rPr>
        <w:t xml:space="preserve"> </w:t>
      </w:r>
      <w:r>
        <w:rPr>
          <w:rFonts w:hint="default" w:ascii="Times New Roman" w:hAnsi="Times New Roman" w:eastAsia="宋体" w:cs="Times New Roman"/>
          <w:b/>
          <w:bCs/>
          <w:kern w:val="0"/>
          <w:sz w:val="32"/>
          <w:szCs w:val="56"/>
          <w:lang w:val="en-US" w:bidi="ar-SA"/>
        </w:rPr>
        <w:t>验收执行标准</w:t>
      </w:r>
      <w:bookmarkEnd w:id="8"/>
      <w:bookmarkEnd w:id="9"/>
    </w:p>
    <w:tbl>
      <w:tblPr>
        <w:tblStyle w:val="1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41"/>
        <w:gridCol w:w="8456"/>
      </w:tblGrid>
      <w:tr w14:paraId="63D59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8" w:hRule="atLeast"/>
          <w:jc w:val="center"/>
        </w:trPr>
        <w:tc>
          <w:tcPr>
            <w:tcW w:w="403" w:type="pct"/>
            <w:noWrap w:val="0"/>
            <w:vAlign w:val="center"/>
          </w:tcPr>
          <w:p w14:paraId="386A2575">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环</w:t>
            </w:r>
          </w:p>
          <w:p w14:paraId="4531A9F8">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境</w:t>
            </w:r>
          </w:p>
          <w:p w14:paraId="1191B622">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质</w:t>
            </w:r>
          </w:p>
          <w:p w14:paraId="0608FBE2">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量</w:t>
            </w:r>
          </w:p>
          <w:p w14:paraId="753EDCB7">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标</w:t>
            </w:r>
          </w:p>
          <w:p w14:paraId="5507A217">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cs="Times New Roman"/>
                <w:sz w:val="28"/>
              </w:rPr>
            </w:pPr>
            <w:r>
              <w:rPr>
                <w:rFonts w:hint="default" w:ascii="Times New Roman" w:hAnsi="Times New Roman" w:eastAsia="宋体" w:cs="Times New Roman"/>
                <w:sz w:val="28"/>
                <w:lang w:val="en-US" w:eastAsia="zh-CN"/>
              </w:rPr>
              <w:t>准</w:t>
            </w:r>
          </w:p>
        </w:tc>
        <w:tc>
          <w:tcPr>
            <w:tcW w:w="4596" w:type="pct"/>
            <w:noWrap w:val="0"/>
            <w:vAlign w:val="top"/>
          </w:tcPr>
          <w:p w14:paraId="15A2A52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96" w:firstLineChars="200"/>
              <w:jc w:val="both"/>
              <w:textAlignment w:val="auto"/>
              <w:rPr>
                <w:rFonts w:hint="default" w:ascii="Times New Roman" w:hAnsi="Times New Roman" w:cs="Times New Roman"/>
                <w:color w:val="000000"/>
                <w:sz w:val="24"/>
                <w:szCs w:val="24"/>
                <w:lang w:eastAsia="zh-CN"/>
              </w:rPr>
            </w:pPr>
            <w:r>
              <w:rPr>
                <w:rFonts w:hint="default" w:ascii="Times New Roman" w:hAnsi="Times New Roman" w:cs="Times New Roman"/>
                <w:spacing w:val="4"/>
                <w:sz w:val="24"/>
                <w:szCs w:val="24"/>
              </w:rPr>
              <w:t>本次竣工环境保护验收调查采用该项目环境影响评价时所采用的标</w:t>
            </w:r>
            <w:r>
              <w:rPr>
                <w:rFonts w:hint="default" w:ascii="Times New Roman" w:hAnsi="Times New Roman" w:cs="Times New Roman"/>
                <w:spacing w:val="-10"/>
                <w:sz w:val="24"/>
                <w:szCs w:val="24"/>
              </w:rPr>
              <w:t>准；国家有新的标准采用新的标准进行校核，对环评时期不完善的标准进</w:t>
            </w:r>
            <w:r>
              <w:rPr>
                <w:rFonts w:hint="default" w:ascii="Times New Roman" w:hAnsi="Times New Roman" w:cs="Times New Roman"/>
                <w:sz w:val="24"/>
                <w:szCs w:val="24"/>
              </w:rPr>
              <w:t>行补充完善。</w:t>
            </w:r>
            <w:r>
              <w:rPr>
                <w:rFonts w:hint="default" w:ascii="Times New Roman" w:hAnsi="Times New Roman" w:cs="Times New Roman"/>
                <w:color w:val="000000"/>
                <w:sz w:val="24"/>
                <w:szCs w:val="24"/>
                <w:lang w:eastAsia="zh-CN"/>
              </w:rPr>
              <w:t>本项目环境质量执行标准详见表</w:t>
            </w:r>
            <w:r>
              <w:rPr>
                <w:rFonts w:hint="default" w:ascii="Times New Roman" w:hAnsi="Times New Roman" w:cs="Times New Roman"/>
                <w:color w:val="000000"/>
                <w:sz w:val="24"/>
                <w:szCs w:val="24"/>
                <w:lang w:val="en-US" w:eastAsia="zh-CN"/>
              </w:rPr>
              <w:t>3</w:t>
            </w:r>
            <w:r>
              <w:rPr>
                <w:rFonts w:hint="default" w:ascii="Times New Roman" w:hAnsi="Times New Roman" w:cs="Times New Roman"/>
                <w:color w:val="000000"/>
                <w:sz w:val="24"/>
                <w:szCs w:val="24"/>
                <w:lang w:eastAsia="zh-CN"/>
              </w:rPr>
              <w:t>-1。</w:t>
            </w:r>
          </w:p>
          <w:p w14:paraId="5F6D19AD">
            <w:pPr>
              <w:autoSpaceDE/>
              <w:autoSpaceDN/>
              <w:spacing w:before="156" w:beforeLines="50" w:line="240" w:lineRule="auto"/>
              <w:jc w:val="center"/>
              <w:rPr>
                <w:rFonts w:hint="default" w:ascii="Times New Roman" w:hAnsi="Times New Roman" w:eastAsia="宋体" w:cs="Times New Roman"/>
                <w:b/>
                <w:bCs/>
                <w:color w:val="auto"/>
                <w:kern w:val="2"/>
                <w:sz w:val="24"/>
                <w:lang w:val="en-US" w:bidi="ar-SA"/>
              </w:rPr>
            </w:pPr>
            <w:r>
              <w:rPr>
                <w:rFonts w:hint="default" w:ascii="Times New Roman" w:hAnsi="Times New Roman" w:eastAsia="宋体" w:cs="Times New Roman"/>
                <w:b/>
                <w:bCs/>
                <w:color w:val="auto"/>
                <w:kern w:val="2"/>
                <w:sz w:val="24"/>
                <w:lang w:val="en-US" w:bidi="ar-SA"/>
              </w:rPr>
              <w:t>表</w:t>
            </w:r>
            <w:r>
              <w:rPr>
                <w:rFonts w:hint="default" w:ascii="Times New Roman" w:hAnsi="Times New Roman" w:eastAsia="宋体" w:cs="Times New Roman"/>
                <w:b/>
                <w:bCs/>
                <w:color w:val="auto"/>
                <w:kern w:val="2"/>
                <w:sz w:val="24"/>
                <w:lang w:val="en-US" w:eastAsia="zh-CN" w:bidi="ar-SA"/>
              </w:rPr>
              <w:t>3</w:t>
            </w:r>
            <w:r>
              <w:rPr>
                <w:rFonts w:hint="default" w:ascii="Times New Roman" w:hAnsi="Times New Roman" w:eastAsia="宋体" w:cs="Times New Roman"/>
                <w:b/>
                <w:bCs/>
                <w:color w:val="auto"/>
                <w:kern w:val="2"/>
                <w:sz w:val="24"/>
                <w:lang w:val="en-US" w:bidi="ar-SA"/>
              </w:rPr>
              <w:t>-1  环境质量执行标准一览表</w:t>
            </w:r>
          </w:p>
          <w:tbl>
            <w:tblPr>
              <w:tblStyle w:val="17"/>
              <w:tblW w:w="496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85"/>
              <w:gridCol w:w="1856"/>
              <w:gridCol w:w="602"/>
              <w:gridCol w:w="1600"/>
              <w:gridCol w:w="2737"/>
              <w:gridCol w:w="998"/>
            </w:tblGrid>
            <w:tr w14:paraId="167A455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614" w:type="dxa"/>
                  <w:vMerge w:val="restart"/>
                  <w:tcBorders>
                    <w:top w:val="single" w:color="auto" w:sz="12" w:space="0"/>
                    <w:left w:val="nil"/>
                    <w:bottom w:val="single" w:color="000000" w:sz="4" w:space="0"/>
                    <w:right w:val="single" w:color="000000" w:sz="4" w:space="0"/>
                  </w:tcBorders>
                  <w:noWrap w:val="0"/>
                  <w:vAlign w:val="center"/>
                </w:tcPr>
                <w:p w14:paraId="6929894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要素分类</w:t>
                  </w:r>
                </w:p>
              </w:tc>
              <w:tc>
                <w:tcPr>
                  <w:tcW w:w="1436" w:type="dxa"/>
                  <w:vMerge w:val="restart"/>
                  <w:tcBorders>
                    <w:top w:val="single" w:color="auto" w:sz="12" w:space="0"/>
                    <w:left w:val="single" w:color="000000" w:sz="4" w:space="0"/>
                    <w:bottom w:val="single" w:color="000000" w:sz="4" w:space="0"/>
                    <w:right w:val="single" w:color="000000" w:sz="4" w:space="0"/>
                  </w:tcBorders>
                  <w:noWrap w:val="0"/>
                  <w:vAlign w:val="center"/>
                </w:tcPr>
                <w:p w14:paraId="27767550">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标准名称</w:t>
                  </w:r>
                </w:p>
              </w:tc>
              <w:tc>
                <w:tcPr>
                  <w:tcW w:w="632" w:type="dxa"/>
                  <w:vMerge w:val="restart"/>
                  <w:tcBorders>
                    <w:top w:val="single" w:color="auto" w:sz="12" w:space="0"/>
                    <w:left w:val="single" w:color="000000" w:sz="4" w:space="0"/>
                    <w:bottom w:val="single" w:color="000000" w:sz="4" w:space="0"/>
                    <w:right w:val="single" w:color="000000" w:sz="4" w:space="0"/>
                  </w:tcBorders>
                  <w:noWrap w:val="0"/>
                  <w:vAlign w:val="center"/>
                </w:tcPr>
                <w:p w14:paraId="733CB56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适用类别</w:t>
                  </w:r>
                </w:p>
              </w:tc>
              <w:tc>
                <w:tcPr>
                  <w:tcW w:w="4696" w:type="dxa"/>
                  <w:gridSpan w:val="2"/>
                  <w:tcBorders>
                    <w:top w:val="single" w:color="auto" w:sz="12" w:space="0"/>
                    <w:left w:val="single" w:color="000000" w:sz="4" w:space="0"/>
                    <w:bottom w:val="single" w:color="000000" w:sz="4" w:space="0"/>
                    <w:right w:val="single" w:color="000000" w:sz="4" w:space="0"/>
                  </w:tcBorders>
                  <w:noWrap w:val="0"/>
                  <w:vAlign w:val="center"/>
                </w:tcPr>
                <w:p w14:paraId="6D20A8DE">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标准限值</w:t>
                  </w:r>
                </w:p>
              </w:tc>
              <w:tc>
                <w:tcPr>
                  <w:tcW w:w="1060" w:type="dxa"/>
                  <w:vMerge w:val="restart"/>
                  <w:tcBorders>
                    <w:top w:val="single" w:color="auto" w:sz="12" w:space="0"/>
                    <w:left w:val="single" w:color="000000" w:sz="4" w:space="0"/>
                    <w:bottom w:val="single" w:color="000000" w:sz="8" w:space="0"/>
                  </w:tcBorders>
                  <w:noWrap w:val="0"/>
                  <w:vAlign w:val="center"/>
                </w:tcPr>
                <w:p w14:paraId="07B4868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b/>
                      <w:bCs/>
                      <w:color w:val="000000"/>
                      <w:sz w:val="18"/>
                      <w:szCs w:val="18"/>
                    </w:rPr>
                    <w:t>评价对象</w:t>
                  </w:r>
                </w:p>
              </w:tc>
            </w:tr>
            <w:tr w14:paraId="2DBF63B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614" w:type="dxa"/>
                  <w:vMerge w:val="continue"/>
                  <w:tcBorders>
                    <w:top w:val="single" w:color="000000" w:sz="4" w:space="0"/>
                    <w:left w:val="nil"/>
                    <w:bottom w:val="single" w:color="auto" w:sz="12" w:space="0"/>
                    <w:right w:val="single" w:color="000000" w:sz="4" w:space="0"/>
                  </w:tcBorders>
                  <w:noWrap w:val="0"/>
                  <w:vAlign w:val="center"/>
                </w:tcPr>
                <w:p w14:paraId="6292A16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sz w:val="18"/>
                      <w:szCs w:val="18"/>
                    </w:rPr>
                  </w:pPr>
                </w:p>
              </w:tc>
              <w:tc>
                <w:tcPr>
                  <w:tcW w:w="1436" w:type="dxa"/>
                  <w:vMerge w:val="continue"/>
                  <w:tcBorders>
                    <w:top w:val="single" w:color="000000" w:sz="4" w:space="0"/>
                    <w:left w:val="single" w:color="000000" w:sz="4" w:space="0"/>
                    <w:bottom w:val="single" w:color="auto" w:sz="12" w:space="0"/>
                    <w:right w:val="single" w:color="000000" w:sz="4" w:space="0"/>
                  </w:tcBorders>
                  <w:noWrap w:val="0"/>
                  <w:vAlign w:val="center"/>
                </w:tcPr>
                <w:p w14:paraId="7E73D229">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sz w:val="18"/>
                      <w:szCs w:val="18"/>
                    </w:rPr>
                  </w:pPr>
                </w:p>
              </w:tc>
              <w:tc>
                <w:tcPr>
                  <w:tcW w:w="632" w:type="dxa"/>
                  <w:vMerge w:val="continue"/>
                  <w:tcBorders>
                    <w:top w:val="single" w:color="000000" w:sz="4" w:space="0"/>
                    <w:left w:val="single" w:color="000000" w:sz="4" w:space="0"/>
                    <w:bottom w:val="single" w:color="auto" w:sz="12" w:space="0"/>
                    <w:right w:val="single" w:color="000000" w:sz="4" w:space="0"/>
                  </w:tcBorders>
                  <w:noWrap w:val="0"/>
                  <w:vAlign w:val="center"/>
                </w:tcPr>
                <w:p w14:paraId="4708A06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sz w:val="18"/>
                      <w:szCs w:val="18"/>
                    </w:rPr>
                  </w:pPr>
                </w:p>
              </w:tc>
              <w:tc>
                <w:tcPr>
                  <w:tcW w:w="1691" w:type="dxa"/>
                  <w:tcBorders>
                    <w:top w:val="single" w:color="000000" w:sz="4" w:space="0"/>
                    <w:left w:val="single" w:color="000000" w:sz="4" w:space="0"/>
                    <w:bottom w:val="single" w:color="auto" w:sz="12" w:space="0"/>
                    <w:right w:val="single" w:color="000000" w:sz="4" w:space="0"/>
                  </w:tcBorders>
                  <w:noWrap w:val="0"/>
                  <w:vAlign w:val="center"/>
                </w:tcPr>
                <w:p w14:paraId="28DDAFA9">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参数名称</w:t>
                  </w:r>
                </w:p>
              </w:tc>
              <w:tc>
                <w:tcPr>
                  <w:tcW w:w="3005" w:type="dxa"/>
                  <w:tcBorders>
                    <w:top w:val="single" w:color="000000" w:sz="4" w:space="0"/>
                    <w:left w:val="single" w:color="000000" w:sz="4" w:space="0"/>
                    <w:bottom w:val="single" w:color="auto" w:sz="12" w:space="0"/>
                    <w:right w:val="single" w:color="000000" w:sz="4" w:space="0"/>
                  </w:tcBorders>
                  <w:noWrap w:val="0"/>
                  <w:vAlign w:val="center"/>
                </w:tcPr>
                <w:p w14:paraId="779988F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浓度限值</w:t>
                  </w:r>
                </w:p>
              </w:tc>
              <w:tc>
                <w:tcPr>
                  <w:tcW w:w="1060" w:type="dxa"/>
                  <w:vMerge w:val="continue"/>
                  <w:tcBorders>
                    <w:left w:val="single" w:color="000000" w:sz="4" w:space="0"/>
                    <w:bottom w:val="single" w:color="auto" w:sz="12" w:space="0"/>
                  </w:tcBorders>
                  <w:noWrap w:val="0"/>
                  <w:vAlign w:val="center"/>
                </w:tcPr>
                <w:p w14:paraId="1453B02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5C78210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614" w:type="dxa"/>
                  <w:vMerge w:val="restart"/>
                  <w:tcBorders>
                    <w:top w:val="single" w:color="auto" w:sz="12" w:space="0"/>
                    <w:left w:val="nil"/>
                    <w:right w:val="single" w:color="000000" w:sz="4" w:space="0"/>
                  </w:tcBorders>
                  <w:noWrap w:val="0"/>
                  <w:vAlign w:val="center"/>
                </w:tcPr>
                <w:p w14:paraId="713F1F3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环境空气</w:t>
                  </w:r>
                </w:p>
              </w:tc>
              <w:tc>
                <w:tcPr>
                  <w:tcW w:w="1436" w:type="dxa"/>
                  <w:vMerge w:val="restart"/>
                  <w:tcBorders>
                    <w:top w:val="single" w:color="auto" w:sz="12" w:space="0"/>
                    <w:left w:val="single" w:color="000000" w:sz="4" w:space="0"/>
                    <w:right w:val="single" w:color="000000" w:sz="4" w:space="0"/>
                  </w:tcBorders>
                  <w:noWrap w:val="0"/>
                  <w:vAlign w:val="center"/>
                </w:tcPr>
                <w:p w14:paraId="57D5E2A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《环境空气质量标准》</w:t>
                  </w:r>
                  <w:r>
                    <w:rPr>
                      <w:rFonts w:hint="default" w:ascii="Times New Roman" w:hAnsi="Times New Roman" w:eastAsia="宋体" w:cs="Times New Roman"/>
                      <w:color w:val="000000"/>
                      <w:sz w:val="18"/>
                      <w:szCs w:val="18"/>
                      <w:lang w:val="en-US" w:eastAsia="zh-CN"/>
                    </w:rPr>
                    <w:t>及修改单</w:t>
                  </w:r>
                  <w:r>
                    <w:rPr>
                      <w:rFonts w:hint="default" w:ascii="Times New Roman" w:hAnsi="Times New Roman" w:eastAsia="宋体" w:cs="Times New Roman"/>
                      <w:color w:val="000000"/>
                      <w:sz w:val="18"/>
                      <w:szCs w:val="18"/>
                    </w:rPr>
                    <w:t>（GB3095-2012）</w:t>
                  </w:r>
                </w:p>
              </w:tc>
              <w:tc>
                <w:tcPr>
                  <w:tcW w:w="632" w:type="dxa"/>
                  <w:vMerge w:val="restart"/>
                  <w:tcBorders>
                    <w:top w:val="single" w:color="auto" w:sz="12" w:space="0"/>
                    <w:left w:val="single" w:color="000000" w:sz="4" w:space="0"/>
                    <w:right w:val="single" w:color="000000" w:sz="4" w:space="0"/>
                  </w:tcBorders>
                  <w:noWrap w:val="0"/>
                  <w:vAlign w:val="center"/>
                </w:tcPr>
                <w:p w14:paraId="3F9364D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二级</w:t>
                  </w:r>
                </w:p>
              </w:tc>
              <w:tc>
                <w:tcPr>
                  <w:tcW w:w="1691" w:type="dxa"/>
                  <w:vMerge w:val="restart"/>
                  <w:tcBorders>
                    <w:top w:val="single" w:color="auto" w:sz="12" w:space="0"/>
                    <w:left w:val="single" w:color="000000" w:sz="4" w:space="0"/>
                    <w:bottom w:val="single" w:color="000000" w:sz="4" w:space="0"/>
                    <w:right w:val="single" w:color="000000" w:sz="4" w:space="0"/>
                  </w:tcBorders>
                  <w:noWrap w:val="0"/>
                  <w:vAlign w:val="center"/>
                </w:tcPr>
                <w:p w14:paraId="2BC98E88">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二氧化硫(SO</w:t>
                  </w:r>
                  <w:r>
                    <w:rPr>
                      <w:rFonts w:hint="default" w:ascii="Times New Roman" w:hAnsi="Times New Roman" w:eastAsia="宋体" w:cs="Times New Roman"/>
                      <w:color w:val="000000"/>
                      <w:sz w:val="18"/>
                      <w:szCs w:val="18"/>
                      <w:vertAlign w:val="subscript"/>
                    </w:rPr>
                    <w:t>2</w:t>
                  </w:r>
                  <w:r>
                    <w:rPr>
                      <w:rFonts w:hint="default" w:ascii="Times New Roman" w:hAnsi="Times New Roman" w:eastAsia="宋体" w:cs="Times New Roman"/>
                      <w:color w:val="000000"/>
                      <w:sz w:val="18"/>
                      <w:szCs w:val="18"/>
                    </w:rPr>
                    <w:t>)</w:t>
                  </w:r>
                </w:p>
              </w:tc>
              <w:tc>
                <w:tcPr>
                  <w:tcW w:w="3005" w:type="dxa"/>
                  <w:tcBorders>
                    <w:top w:val="single" w:color="auto" w:sz="12" w:space="0"/>
                    <w:left w:val="single" w:color="000000" w:sz="4" w:space="0"/>
                    <w:bottom w:val="single" w:color="000000" w:sz="4" w:space="0"/>
                    <w:right w:val="single" w:color="000000" w:sz="4" w:space="0"/>
                  </w:tcBorders>
                  <w:noWrap w:val="0"/>
                  <w:vAlign w:val="center"/>
                </w:tcPr>
                <w:p w14:paraId="28C19A0E">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年平均60ug/m</w:t>
                  </w:r>
                  <w:r>
                    <w:rPr>
                      <w:rFonts w:hint="default" w:ascii="Times New Roman" w:hAnsi="Times New Roman" w:eastAsia="宋体" w:cs="Times New Roman"/>
                      <w:color w:val="000000"/>
                      <w:sz w:val="18"/>
                      <w:szCs w:val="18"/>
                      <w:vertAlign w:val="superscript"/>
                    </w:rPr>
                    <w:t>3</w:t>
                  </w:r>
                </w:p>
              </w:tc>
              <w:tc>
                <w:tcPr>
                  <w:tcW w:w="1060" w:type="dxa"/>
                  <w:vMerge w:val="restart"/>
                  <w:tcBorders>
                    <w:top w:val="single" w:color="auto" w:sz="12" w:space="0"/>
                    <w:left w:val="single" w:color="000000" w:sz="4" w:space="0"/>
                  </w:tcBorders>
                  <w:noWrap w:val="0"/>
                  <w:vAlign w:val="center"/>
                </w:tcPr>
                <w:p w14:paraId="335151B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评价区域内环境空气</w:t>
                  </w:r>
                </w:p>
              </w:tc>
            </w:tr>
            <w:tr w14:paraId="755A31E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11FB795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3F856DD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4561491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1B3FF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697F10A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日平均150ug/m</w:t>
                  </w:r>
                  <w:r>
                    <w:rPr>
                      <w:rFonts w:hint="default" w:ascii="Times New Roman" w:hAnsi="Times New Roman" w:eastAsia="宋体" w:cs="Times New Roman"/>
                      <w:color w:val="000000"/>
                      <w:sz w:val="18"/>
                      <w:szCs w:val="18"/>
                      <w:vertAlign w:val="superscript"/>
                    </w:rPr>
                    <w:t>3</w:t>
                  </w:r>
                </w:p>
              </w:tc>
              <w:tc>
                <w:tcPr>
                  <w:tcW w:w="1060" w:type="dxa"/>
                  <w:vMerge w:val="continue"/>
                  <w:tcBorders>
                    <w:left w:val="single" w:color="000000" w:sz="4" w:space="0"/>
                  </w:tcBorders>
                  <w:noWrap w:val="0"/>
                  <w:vAlign w:val="center"/>
                </w:tcPr>
                <w:p w14:paraId="415A3CC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6B72B8D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5300E79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74CD8D8F">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66D15C4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CF083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5493EA0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1小时平均500ug/m</w:t>
                  </w:r>
                  <w:r>
                    <w:rPr>
                      <w:rFonts w:hint="default" w:ascii="Times New Roman" w:hAnsi="Times New Roman" w:eastAsia="宋体" w:cs="Times New Roman"/>
                      <w:color w:val="000000"/>
                      <w:sz w:val="18"/>
                      <w:szCs w:val="18"/>
                      <w:vertAlign w:val="superscript"/>
                    </w:rPr>
                    <w:t>3</w:t>
                  </w:r>
                </w:p>
              </w:tc>
              <w:tc>
                <w:tcPr>
                  <w:tcW w:w="1060" w:type="dxa"/>
                  <w:vMerge w:val="continue"/>
                  <w:tcBorders>
                    <w:left w:val="single" w:color="000000" w:sz="4" w:space="0"/>
                  </w:tcBorders>
                  <w:noWrap w:val="0"/>
                  <w:vAlign w:val="center"/>
                </w:tcPr>
                <w:p w14:paraId="6B9C307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4574D04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21FFA76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1E7B54F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6D0B4E84">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restart"/>
                  <w:tcBorders>
                    <w:top w:val="single" w:color="000000" w:sz="4" w:space="0"/>
                    <w:left w:val="single" w:color="000000" w:sz="4" w:space="0"/>
                    <w:bottom w:val="single" w:color="000000" w:sz="4" w:space="0"/>
                    <w:right w:val="single" w:color="000000" w:sz="4" w:space="0"/>
                  </w:tcBorders>
                  <w:noWrap w:val="0"/>
                  <w:vAlign w:val="center"/>
                </w:tcPr>
                <w:p w14:paraId="4834155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二氧化氮(NO</w:t>
                  </w:r>
                  <w:r>
                    <w:rPr>
                      <w:rFonts w:hint="default" w:ascii="Times New Roman" w:hAnsi="Times New Roman" w:eastAsia="宋体" w:cs="Times New Roman"/>
                      <w:color w:val="000000"/>
                      <w:sz w:val="18"/>
                      <w:szCs w:val="18"/>
                      <w:vertAlign w:val="subscript"/>
                    </w:rPr>
                    <w:t>2</w:t>
                  </w:r>
                  <w:r>
                    <w:rPr>
                      <w:rFonts w:hint="default" w:ascii="Times New Roman" w:hAnsi="Times New Roman" w:eastAsia="宋体" w:cs="Times New Roman"/>
                      <w:color w:val="000000"/>
                      <w:sz w:val="18"/>
                      <w:szCs w:val="18"/>
                    </w:rPr>
                    <w:t>)</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183BD26E">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年平均40ug/m</w:t>
                  </w:r>
                  <w:r>
                    <w:rPr>
                      <w:rFonts w:hint="default" w:ascii="Times New Roman" w:hAnsi="Times New Roman" w:eastAsia="宋体" w:cs="Times New Roman"/>
                      <w:color w:val="000000"/>
                      <w:sz w:val="18"/>
                      <w:szCs w:val="18"/>
                      <w:vertAlign w:val="superscript"/>
                    </w:rPr>
                    <w:t>3</w:t>
                  </w:r>
                </w:p>
              </w:tc>
              <w:tc>
                <w:tcPr>
                  <w:tcW w:w="1060" w:type="dxa"/>
                  <w:vMerge w:val="continue"/>
                  <w:tcBorders>
                    <w:left w:val="single" w:color="000000" w:sz="4" w:space="0"/>
                  </w:tcBorders>
                  <w:noWrap w:val="0"/>
                  <w:vAlign w:val="center"/>
                </w:tcPr>
                <w:p w14:paraId="474D8F0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0C539CB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7498962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463B50C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180F78D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1FCC2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0C87083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日平均80ug/m</w:t>
                  </w:r>
                  <w:r>
                    <w:rPr>
                      <w:rFonts w:hint="default" w:ascii="Times New Roman" w:hAnsi="Times New Roman" w:eastAsia="宋体" w:cs="Times New Roman"/>
                      <w:color w:val="000000"/>
                      <w:sz w:val="18"/>
                      <w:szCs w:val="18"/>
                      <w:vertAlign w:val="superscript"/>
                    </w:rPr>
                    <w:t>3</w:t>
                  </w:r>
                </w:p>
              </w:tc>
              <w:tc>
                <w:tcPr>
                  <w:tcW w:w="1060" w:type="dxa"/>
                  <w:vMerge w:val="continue"/>
                  <w:tcBorders>
                    <w:left w:val="single" w:color="000000" w:sz="4" w:space="0"/>
                  </w:tcBorders>
                  <w:noWrap w:val="0"/>
                  <w:vAlign w:val="center"/>
                </w:tcPr>
                <w:p w14:paraId="5132E26F">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625E441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64DB569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08C59A8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21CBAEE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608DF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68A8856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1小时平均200ug/m</w:t>
                  </w:r>
                  <w:r>
                    <w:rPr>
                      <w:rFonts w:hint="default" w:ascii="Times New Roman" w:hAnsi="Times New Roman" w:eastAsia="宋体" w:cs="Times New Roman"/>
                      <w:color w:val="000000"/>
                      <w:sz w:val="18"/>
                      <w:szCs w:val="18"/>
                      <w:vertAlign w:val="superscript"/>
                    </w:rPr>
                    <w:t>3</w:t>
                  </w:r>
                </w:p>
              </w:tc>
              <w:tc>
                <w:tcPr>
                  <w:tcW w:w="1060" w:type="dxa"/>
                  <w:vMerge w:val="continue"/>
                  <w:tcBorders>
                    <w:left w:val="single" w:color="000000" w:sz="4" w:space="0"/>
                  </w:tcBorders>
                  <w:noWrap w:val="0"/>
                  <w:vAlign w:val="center"/>
                </w:tcPr>
                <w:p w14:paraId="786A744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20502E1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575CA028">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35EE842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575975D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restart"/>
                  <w:tcBorders>
                    <w:top w:val="single" w:color="000000" w:sz="4" w:space="0"/>
                    <w:left w:val="single" w:color="000000" w:sz="4" w:space="0"/>
                    <w:bottom w:val="single" w:color="000000" w:sz="4" w:space="0"/>
                    <w:right w:val="single" w:color="000000" w:sz="4" w:space="0"/>
                  </w:tcBorders>
                  <w:noWrap w:val="0"/>
                  <w:vAlign w:val="center"/>
                </w:tcPr>
                <w:p w14:paraId="034AAE6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可吸入颗粒物（PM</w:t>
                  </w:r>
                  <w:r>
                    <w:rPr>
                      <w:rFonts w:hint="default" w:ascii="Times New Roman" w:hAnsi="Times New Roman" w:eastAsia="宋体" w:cs="Times New Roman"/>
                      <w:color w:val="000000"/>
                      <w:sz w:val="18"/>
                      <w:szCs w:val="18"/>
                      <w:vertAlign w:val="subscript"/>
                    </w:rPr>
                    <w:t>10</w:t>
                  </w:r>
                  <w:r>
                    <w:rPr>
                      <w:rFonts w:hint="default" w:ascii="Times New Roman" w:hAnsi="Times New Roman" w:eastAsia="宋体" w:cs="Times New Roman"/>
                      <w:color w:val="000000"/>
                      <w:sz w:val="18"/>
                      <w:szCs w:val="18"/>
                    </w:rPr>
                    <w:t>）</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65F0296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年平均70ug/m</w:t>
                  </w:r>
                  <w:r>
                    <w:rPr>
                      <w:rFonts w:hint="default" w:ascii="Times New Roman" w:hAnsi="Times New Roman" w:eastAsia="宋体" w:cs="Times New Roman"/>
                      <w:color w:val="000000"/>
                      <w:sz w:val="18"/>
                      <w:szCs w:val="18"/>
                      <w:vertAlign w:val="superscript"/>
                    </w:rPr>
                    <w:t>3</w:t>
                  </w:r>
                </w:p>
              </w:tc>
              <w:tc>
                <w:tcPr>
                  <w:tcW w:w="1060" w:type="dxa"/>
                  <w:vMerge w:val="continue"/>
                  <w:tcBorders>
                    <w:left w:val="single" w:color="000000" w:sz="4" w:space="0"/>
                  </w:tcBorders>
                  <w:noWrap w:val="0"/>
                  <w:vAlign w:val="center"/>
                </w:tcPr>
                <w:p w14:paraId="300B1C7F">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2CB6DA3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63ED598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019E10A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2C8DFAA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961E8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1513A5A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日平均150ug/m</w:t>
                  </w:r>
                  <w:r>
                    <w:rPr>
                      <w:rFonts w:hint="default" w:ascii="Times New Roman" w:hAnsi="Times New Roman" w:eastAsia="宋体" w:cs="Times New Roman"/>
                      <w:color w:val="000000"/>
                      <w:sz w:val="18"/>
                      <w:szCs w:val="18"/>
                      <w:vertAlign w:val="superscript"/>
                    </w:rPr>
                    <w:t>3</w:t>
                  </w:r>
                </w:p>
              </w:tc>
              <w:tc>
                <w:tcPr>
                  <w:tcW w:w="1060" w:type="dxa"/>
                  <w:vMerge w:val="continue"/>
                  <w:tcBorders>
                    <w:left w:val="single" w:color="000000" w:sz="4" w:space="0"/>
                  </w:tcBorders>
                  <w:noWrap w:val="0"/>
                  <w:vAlign w:val="center"/>
                </w:tcPr>
                <w:p w14:paraId="7EE5D949">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74B464B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27D3FA0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6FDDEFE8">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575A65E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restart"/>
                  <w:tcBorders>
                    <w:top w:val="single" w:color="000000" w:sz="4" w:space="0"/>
                    <w:left w:val="single" w:color="000000" w:sz="4" w:space="0"/>
                    <w:bottom w:val="single" w:color="000000" w:sz="4" w:space="0"/>
                    <w:right w:val="single" w:color="000000" w:sz="4" w:space="0"/>
                  </w:tcBorders>
                  <w:noWrap w:val="0"/>
                  <w:vAlign w:val="center"/>
                </w:tcPr>
                <w:p w14:paraId="6DDD6208">
                  <w:pPr>
                    <w:keepNext w:val="0"/>
                    <w:keepLines w:val="0"/>
                    <w:pageBreakBefore w:val="0"/>
                    <w:widowControl w:val="0"/>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一氧化碳（CO）</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36B5CFAC">
                  <w:pPr>
                    <w:pStyle w:val="15"/>
                    <w:keepNext w:val="0"/>
                    <w:keepLines w:val="0"/>
                    <w:pageBreakBefore w:val="0"/>
                    <w:widowControl w:val="0"/>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2"/>
                      <w:sz w:val="18"/>
                      <w:szCs w:val="18"/>
                    </w:rPr>
                    <w:t>24小时平均4mg/m</w:t>
                  </w:r>
                  <w:r>
                    <w:rPr>
                      <w:rFonts w:hint="default" w:ascii="Times New Roman" w:hAnsi="Times New Roman" w:eastAsia="宋体" w:cs="Times New Roman"/>
                      <w:color w:val="000000"/>
                      <w:kern w:val="2"/>
                      <w:sz w:val="18"/>
                      <w:szCs w:val="18"/>
                      <w:vertAlign w:val="superscript"/>
                    </w:rPr>
                    <w:t>3</w:t>
                  </w:r>
                </w:p>
              </w:tc>
              <w:tc>
                <w:tcPr>
                  <w:tcW w:w="1060" w:type="dxa"/>
                  <w:vMerge w:val="continue"/>
                  <w:tcBorders>
                    <w:left w:val="single" w:color="000000" w:sz="4" w:space="0"/>
                  </w:tcBorders>
                  <w:noWrap w:val="0"/>
                  <w:vAlign w:val="center"/>
                </w:tcPr>
                <w:p w14:paraId="773911B8">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05A679E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531A116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4D8C335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598D364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6C246B">
                  <w:pPr>
                    <w:keepNext w:val="0"/>
                    <w:keepLines w:val="0"/>
                    <w:pageBreakBefore w:val="0"/>
                    <w:widowControl w:val="0"/>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50B50B30">
                  <w:pPr>
                    <w:pStyle w:val="15"/>
                    <w:keepNext w:val="0"/>
                    <w:keepLines w:val="0"/>
                    <w:pageBreakBefore w:val="0"/>
                    <w:widowControl w:val="0"/>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2"/>
                      <w:sz w:val="18"/>
                      <w:szCs w:val="18"/>
                    </w:rPr>
                    <w:t>1小时平均10mg/m</w:t>
                  </w:r>
                  <w:r>
                    <w:rPr>
                      <w:rFonts w:hint="default" w:ascii="Times New Roman" w:hAnsi="Times New Roman" w:eastAsia="宋体" w:cs="Times New Roman"/>
                      <w:color w:val="000000"/>
                      <w:kern w:val="2"/>
                      <w:sz w:val="18"/>
                      <w:szCs w:val="18"/>
                      <w:vertAlign w:val="superscript"/>
                    </w:rPr>
                    <w:t>3</w:t>
                  </w:r>
                </w:p>
              </w:tc>
              <w:tc>
                <w:tcPr>
                  <w:tcW w:w="1060" w:type="dxa"/>
                  <w:vMerge w:val="continue"/>
                  <w:tcBorders>
                    <w:left w:val="single" w:color="000000" w:sz="4" w:space="0"/>
                  </w:tcBorders>
                  <w:noWrap w:val="0"/>
                  <w:vAlign w:val="center"/>
                </w:tcPr>
                <w:p w14:paraId="594EB9BE">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73D6938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614" w:type="dxa"/>
                  <w:vMerge w:val="continue"/>
                  <w:tcBorders>
                    <w:left w:val="nil"/>
                    <w:right w:val="single" w:color="000000" w:sz="4" w:space="0"/>
                  </w:tcBorders>
                  <w:noWrap w:val="0"/>
                  <w:vAlign w:val="center"/>
                </w:tcPr>
                <w:p w14:paraId="3A3404E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6C8EE5CF">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4E66AD8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restart"/>
                  <w:tcBorders>
                    <w:top w:val="single" w:color="000000" w:sz="4" w:space="0"/>
                    <w:left w:val="single" w:color="000000" w:sz="4" w:space="0"/>
                    <w:bottom w:val="single" w:color="000000" w:sz="4" w:space="0"/>
                    <w:right w:val="single" w:color="000000" w:sz="4" w:space="0"/>
                  </w:tcBorders>
                  <w:noWrap w:val="0"/>
                  <w:vAlign w:val="center"/>
                </w:tcPr>
                <w:p w14:paraId="05798656">
                  <w:pPr>
                    <w:keepNext w:val="0"/>
                    <w:keepLines w:val="0"/>
                    <w:pageBreakBefore w:val="0"/>
                    <w:widowControl w:val="0"/>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臭氧（O</w:t>
                  </w:r>
                  <w:r>
                    <w:rPr>
                      <w:rFonts w:hint="default" w:ascii="Times New Roman" w:hAnsi="Times New Roman" w:eastAsia="宋体" w:cs="Times New Roman"/>
                      <w:color w:val="000000"/>
                      <w:sz w:val="18"/>
                      <w:szCs w:val="18"/>
                      <w:vertAlign w:val="subscript"/>
                    </w:rPr>
                    <w:t>3</w:t>
                  </w:r>
                  <w:r>
                    <w:rPr>
                      <w:rFonts w:hint="default" w:ascii="Times New Roman" w:hAnsi="Times New Roman" w:eastAsia="宋体" w:cs="Times New Roman"/>
                      <w:color w:val="000000"/>
                      <w:sz w:val="18"/>
                      <w:szCs w:val="18"/>
                    </w:rPr>
                    <w:t>）</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2A7BBD8F">
                  <w:pPr>
                    <w:pStyle w:val="15"/>
                    <w:keepNext w:val="0"/>
                    <w:keepLines w:val="0"/>
                    <w:pageBreakBefore w:val="0"/>
                    <w:widowControl w:val="0"/>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2"/>
                      <w:sz w:val="18"/>
                      <w:szCs w:val="18"/>
                    </w:rPr>
                    <w:t>日最大8小时平均160μg/m</w:t>
                  </w:r>
                  <w:r>
                    <w:rPr>
                      <w:rFonts w:hint="default" w:ascii="Times New Roman" w:hAnsi="Times New Roman" w:eastAsia="宋体" w:cs="Times New Roman"/>
                      <w:color w:val="000000"/>
                      <w:kern w:val="2"/>
                      <w:sz w:val="18"/>
                      <w:szCs w:val="18"/>
                      <w:vertAlign w:val="superscript"/>
                    </w:rPr>
                    <w:t>3</w:t>
                  </w:r>
                </w:p>
              </w:tc>
              <w:tc>
                <w:tcPr>
                  <w:tcW w:w="1060" w:type="dxa"/>
                  <w:vMerge w:val="continue"/>
                  <w:tcBorders>
                    <w:left w:val="single" w:color="000000" w:sz="4" w:space="0"/>
                  </w:tcBorders>
                  <w:noWrap w:val="0"/>
                  <w:vAlign w:val="center"/>
                </w:tcPr>
                <w:p w14:paraId="1B8BBDD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16906B6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614" w:type="dxa"/>
                  <w:vMerge w:val="continue"/>
                  <w:tcBorders>
                    <w:left w:val="nil"/>
                    <w:right w:val="single" w:color="000000" w:sz="4" w:space="0"/>
                  </w:tcBorders>
                  <w:noWrap w:val="0"/>
                  <w:vAlign w:val="center"/>
                </w:tcPr>
                <w:p w14:paraId="1A00026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2DC9A59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3E4FD9F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8A6EAA">
                  <w:pPr>
                    <w:keepNext w:val="0"/>
                    <w:keepLines w:val="0"/>
                    <w:pageBreakBefore w:val="0"/>
                    <w:widowControl w:val="0"/>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5131F9F4">
                  <w:pPr>
                    <w:pStyle w:val="15"/>
                    <w:keepNext w:val="0"/>
                    <w:keepLines w:val="0"/>
                    <w:pageBreakBefore w:val="0"/>
                    <w:widowControl w:val="0"/>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2"/>
                      <w:sz w:val="18"/>
                      <w:szCs w:val="18"/>
                    </w:rPr>
                    <w:t>1小时平均200μg/m</w:t>
                  </w:r>
                  <w:r>
                    <w:rPr>
                      <w:rFonts w:hint="default" w:ascii="Times New Roman" w:hAnsi="Times New Roman" w:eastAsia="宋体" w:cs="Times New Roman"/>
                      <w:color w:val="000000"/>
                      <w:kern w:val="2"/>
                      <w:sz w:val="18"/>
                      <w:szCs w:val="18"/>
                      <w:vertAlign w:val="superscript"/>
                    </w:rPr>
                    <w:t>3</w:t>
                  </w:r>
                </w:p>
              </w:tc>
              <w:tc>
                <w:tcPr>
                  <w:tcW w:w="1060" w:type="dxa"/>
                  <w:vMerge w:val="continue"/>
                  <w:tcBorders>
                    <w:left w:val="single" w:color="000000" w:sz="4" w:space="0"/>
                  </w:tcBorders>
                  <w:noWrap w:val="0"/>
                  <w:vAlign w:val="center"/>
                </w:tcPr>
                <w:p w14:paraId="24ED61C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50D8904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7A152C9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348B3E2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19169C4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restart"/>
                  <w:tcBorders>
                    <w:top w:val="single" w:color="000000" w:sz="4" w:space="0"/>
                    <w:left w:val="single" w:color="000000" w:sz="4" w:space="0"/>
                    <w:bottom w:val="single" w:color="000000" w:sz="4" w:space="0"/>
                    <w:right w:val="single" w:color="000000" w:sz="4" w:space="0"/>
                  </w:tcBorders>
                  <w:noWrap w:val="0"/>
                  <w:vAlign w:val="center"/>
                </w:tcPr>
                <w:p w14:paraId="23DDC782">
                  <w:pPr>
                    <w:keepNext w:val="0"/>
                    <w:keepLines w:val="0"/>
                    <w:pageBreakBefore w:val="0"/>
                    <w:widowControl w:val="0"/>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细颗粒物（PM</w:t>
                  </w:r>
                  <w:r>
                    <w:rPr>
                      <w:rFonts w:hint="default" w:ascii="Times New Roman" w:hAnsi="Times New Roman" w:eastAsia="宋体" w:cs="Times New Roman"/>
                      <w:color w:val="000000"/>
                      <w:sz w:val="18"/>
                      <w:szCs w:val="18"/>
                      <w:vertAlign w:val="subscript"/>
                    </w:rPr>
                    <w:t>2.5</w:t>
                  </w:r>
                  <w:r>
                    <w:rPr>
                      <w:rFonts w:hint="default" w:ascii="Times New Roman" w:hAnsi="Times New Roman" w:eastAsia="宋体" w:cs="Times New Roman"/>
                      <w:color w:val="000000"/>
                      <w:sz w:val="18"/>
                      <w:szCs w:val="18"/>
                    </w:rPr>
                    <w:t>）</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312A56B0">
                  <w:pPr>
                    <w:pStyle w:val="15"/>
                    <w:keepNext w:val="0"/>
                    <w:keepLines w:val="0"/>
                    <w:pageBreakBefore w:val="0"/>
                    <w:widowControl w:val="0"/>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2"/>
                      <w:sz w:val="18"/>
                      <w:szCs w:val="18"/>
                    </w:rPr>
                    <w:t>年平均35μg/m</w:t>
                  </w:r>
                  <w:r>
                    <w:rPr>
                      <w:rFonts w:hint="default" w:ascii="Times New Roman" w:hAnsi="Times New Roman" w:eastAsia="宋体" w:cs="Times New Roman"/>
                      <w:color w:val="000000"/>
                      <w:kern w:val="2"/>
                      <w:sz w:val="18"/>
                      <w:szCs w:val="18"/>
                      <w:vertAlign w:val="superscript"/>
                    </w:rPr>
                    <w:t>3</w:t>
                  </w:r>
                </w:p>
              </w:tc>
              <w:tc>
                <w:tcPr>
                  <w:tcW w:w="1060" w:type="dxa"/>
                  <w:vMerge w:val="continue"/>
                  <w:tcBorders>
                    <w:left w:val="single" w:color="000000" w:sz="4" w:space="0"/>
                  </w:tcBorders>
                  <w:noWrap w:val="0"/>
                  <w:vAlign w:val="center"/>
                </w:tcPr>
                <w:p w14:paraId="200048D9">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002FF7C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4BB3900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1819D5E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5E4C448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continue"/>
                  <w:tcBorders>
                    <w:top w:val="single" w:color="000000" w:sz="4" w:space="0"/>
                    <w:left w:val="single" w:color="000000" w:sz="4" w:space="0"/>
                    <w:bottom w:val="single" w:color="auto" w:sz="4" w:space="0"/>
                    <w:right w:val="single" w:color="000000" w:sz="4" w:space="0"/>
                  </w:tcBorders>
                  <w:noWrap w:val="0"/>
                  <w:vAlign w:val="center"/>
                </w:tcPr>
                <w:p w14:paraId="43474A6F">
                  <w:pPr>
                    <w:keepNext w:val="0"/>
                    <w:keepLines w:val="0"/>
                    <w:pageBreakBefore w:val="0"/>
                    <w:widowControl w:val="0"/>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17CA06FF">
                  <w:pPr>
                    <w:pStyle w:val="15"/>
                    <w:keepNext w:val="0"/>
                    <w:keepLines w:val="0"/>
                    <w:pageBreakBefore w:val="0"/>
                    <w:widowControl w:val="0"/>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2"/>
                      <w:sz w:val="18"/>
                      <w:szCs w:val="18"/>
                    </w:rPr>
                    <w:t>24h平均75μg/m</w:t>
                  </w:r>
                  <w:r>
                    <w:rPr>
                      <w:rFonts w:hint="default" w:ascii="Times New Roman" w:hAnsi="Times New Roman" w:eastAsia="宋体" w:cs="Times New Roman"/>
                      <w:color w:val="000000"/>
                      <w:kern w:val="2"/>
                      <w:sz w:val="18"/>
                      <w:szCs w:val="18"/>
                      <w:vertAlign w:val="superscript"/>
                    </w:rPr>
                    <w:t>3</w:t>
                  </w:r>
                </w:p>
              </w:tc>
              <w:tc>
                <w:tcPr>
                  <w:tcW w:w="1060" w:type="dxa"/>
                  <w:vMerge w:val="continue"/>
                  <w:tcBorders>
                    <w:left w:val="single" w:color="000000" w:sz="4" w:space="0"/>
                  </w:tcBorders>
                  <w:noWrap w:val="0"/>
                  <w:vAlign w:val="center"/>
                </w:tcPr>
                <w:p w14:paraId="0057B43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0A6BF9E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6244876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135AF399">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22308E3F">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restart"/>
                  <w:tcBorders>
                    <w:top w:val="single" w:color="auto" w:sz="4" w:space="0"/>
                    <w:left w:val="single" w:color="000000" w:sz="4" w:space="0"/>
                    <w:bottom w:val="single" w:color="auto" w:sz="4" w:space="0"/>
                    <w:right w:val="single" w:color="000000" w:sz="4" w:space="0"/>
                  </w:tcBorders>
                  <w:noWrap w:val="0"/>
                  <w:vAlign w:val="center"/>
                </w:tcPr>
                <w:p w14:paraId="6EE822B3">
                  <w:pPr>
                    <w:keepNext w:val="0"/>
                    <w:keepLines w:val="0"/>
                    <w:pageBreakBefore w:val="0"/>
                    <w:widowControl w:val="0"/>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总悬浮颗粒物（TSP）</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79ABA9A4">
                  <w:pPr>
                    <w:pStyle w:val="15"/>
                    <w:keepNext w:val="0"/>
                    <w:keepLines w:val="0"/>
                    <w:pageBreakBefore w:val="0"/>
                    <w:widowControl w:val="0"/>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sz w:val="18"/>
                      <w:szCs w:val="18"/>
                    </w:rPr>
                    <w:t>年平均</w:t>
                  </w:r>
                  <w:r>
                    <w:rPr>
                      <w:rFonts w:hint="default" w:ascii="Times New Roman" w:hAnsi="Times New Roman" w:eastAsia="宋体" w:cs="Times New Roman"/>
                      <w:color w:val="000000"/>
                      <w:sz w:val="18"/>
                      <w:szCs w:val="18"/>
                      <w:lang w:val="en-US" w:eastAsia="zh-CN"/>
                    </w:rPr>
                    <w:t>200</w:t>
                  </w:r>
                  <w:r>
                    <w:rPr>
                      <w:rFonts w:hint="default" w:ascii="Times New Roman" w:hAnsi="Times New Roman" w:eastAsia="宋体" w:cs="Times New Roman"/>
                      <w:color w:val="000000"/>
                      <w:sz w:val="18"/>
                      <w:szCs w:val="18"/>
                    </w:rPr>
                    <w:t>ug/m</w:t>
                  </w:r>
                  <w:r>
                    <w:rPr>
                      <w:rFonts w:hint="default" w:ascii="Times New Roman" w:hAnsi="Times New Roman" w:eastAsia="宋体" w:cs="Times New Roman"/>
                      <w:color w:val="000000"/>
                      <w:sz w:val="18"/>
                      <w:szCs w:val="18"/>
                      <w:vertAlign w:val="superscript"/>
                    </w:rPr>
                    <w:t>3</w:t>
                  </w:r>
                </w:p>
              </w:tc>
              <w:tc>
                <w:tcPr>
                  <w:tcW w:w="1060" w:type="dxa"/>
                  <w:vMerge w:val="continue"/>
                  <w:tcBorders>
                    <w:left w:val="single" w:color="000000" w:sz="4" w:space="0"/>
                  </w:tcBorders>
                  <w:noWrap w:val="0"/>
                  <w:vAlign w:val="center"/>
                </w:tcPr>
                <w:p w14:paraId="2FE8284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03ADF34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26AAF1C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bottom w:val="single" w:color="auto" w:sz="4" w:space="0"/>
                    <w:right w:val="single" w:color="000000" w:sz="4" w:space="0"/>
                  </w:tcBorders>
                  <w:noWrap w:val="0"/>
                  <w:vAlign w:val="center"/>
                </w:tcPr>
                <w:p w14:paraId="42631399">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bottom w:val="single" w:color="auto" w:sz="4" w:space="0"/>
                    <w:right w:val="single" w:color="000000" w:sz="4" w:space="0"/>
                  </w:tcBorders>
                  <w:noWrap w:val="0"/>
                  <w:vAlign w:val="center"/>
                </w:tcPr>
                <w:p w14:paraId="5AD4D27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vMerge w:val="continue"/>
                  <w:tcBorders>
                    <w:top w:val="single" w:color="auto" w:sz="4" w:space="0"/>
                    <w:left w:val="single" w:color="000000" w:sz="4" w:space="0"/>
                    <w:bottom w:val="single" w:color="auto" w:sz="4" w:space="0"/>
                    <w:right w:val="single" w:color="000000" w:sz="4" w:space="0"/>
                  </w:tcBorders>
                  <w:noWrap w:val="0"/>
                  <w:vAlign w:val="center"/>
                </w:tcPr>
                <w:p w14:paraId="3C2D6B60">
                  <w:pPr>
                    <w:keepNext w:val="0"/>
                    <w:keepLines w:val="0"/>
                    <w:pageBreakBefore w:val="0"/>
                    <w:widowControl w:val="0"/>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4DE6D8DB">
                  <w:pPr>
                    <w:pStyle w:val="15"/>
                    <w:keepNext w:val="0"/>
                    <w:keepLines w:val="0"/>
                    <w:pageBreakBefore w:val="0"/>
                    <w:widowControl w:val="0"/>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rPr>
                    <w:t>24h平均</w:t>
                  </w:r>
                  <w:r>
                    <w:rPr>
                      <w:rFonts w:hint="default" w:ascii="Times New Roman" w:hAnsi="Times New Roman" w:eastAsia="宋体" w:cs="Times New Roman"/>
                      <w:color w:val="000000"/>
                      <w:kern w:val="2"/>
                      <w:sz w:val="18"/>
                      <w:szCs w:val="18"/>
                      <w:lang w:val="en-US" w:eastAsia="zh-CN"/>
                    </w:rPr>
                    <w:t>300</w:t>
                  </w:r>
                  <w:r>
                    <w:rPr>
                      <w:rFonts w:hint="default" w:ascii="Times New Roman" w:hAnsi="Times New Roman" w:eastAsia="宋体" w:cs="Times New Roman"/>
                      <w:color w:val="000000"/>
                      <w:kern w:val="2"/>
                      <w:sz w:val="18"/>
                      <w:szCs w:val="18"/>
                    </w:rPr>
                    <w:t>μg/m</w:t>
                  </w:r>
                  <w:r>
                    <w:rPr>
                      <w:rFonts w:hint="default" w:ascii="Times New Roman" w:hAnsi="Times New Roman" w:eastAsia="宋体" w:cs="Times New Roman"/>
                      <w:color w:val="000000"/>
                      <w:kern w:val="2"/>
                      <w:sz w:val="18"/>
                      <w:szCs w:val="18"/>
                      <w:vertAlign w:val="superscript"/>
                    </w:rPr>
                    <w:t>3</w:t>
                  </w:r>
                </w:p>
              </w:tc>
              <w:tc>
                <w:tcPr>
                  <w:tcW w:w="1060" w:type="dxa"/>
                  <w:vMerge w:val="continue"/>
                  <w:tcBorders>
                    <w:left w:val="single" w:color="000000" w:sz="4" w:space="0"/>
                  </w:tcBorders>
                  <w:noWrap w:val="0"/>
                  <w:vAlign w:val="center"/>
                </w:tcPr>
                <w:p w14:paraId="3805B959">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0D51E26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restart"/>
                  <w:tcBorders>
                    <w:left w:val="nil"/>
                    <w:right w:val="single" w:color="000000" w:sz="4" w:space="0"/>
                  </w:tcBorders>
                  <w:noWrap w:val="0"/>
                  <w:vAlign w:val="center"/>
                </w:tcPr>
                <w:p w14:paraId="67B37BE9">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地表水环境</w:t>
                  </w:r>
                </w:p>
              </w:tc>
              <w:tc>
                <w:tcPr>
                  <w:tcW w:w="1436" w:type="dxa"/>
                  <w:vMerge w:val="restart"/>
                  <w:tcBorders>
                    <w:top w:val="single" w:color="auto" w:sz="4" w:space="0"/>
                    <w:left w:val="single" w:color="000000" w:sz="4" w:space="0"/>
                    <w:right w:val="single" w:color="000000" w:sz="4" w:space="0"/>
                  </w:tcBorders>
                  <w:noWrap w:val="0"/>
                  <w:vAlign w:val="center"/>
                </w:tcPr>
                <w:p w14:paraId="0DC323E4">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《地表水环境质量标准》（GB3838-2002）</w:t>
                  </w:r>
                </w:p>
              </w:tc>
              <w:tc>
                <w:tcPr>
                  <w:tcW w:w="632" w:type="dxa"/>
                  <w:vMerge w:val="restart"/>
                  <w:tcBorders>
                    <w:top w:val="single" w:color="auto" w:sz="4" w:space="0"/>
                    <w:left w:val="single" w:color="000000" w:sz="4" w:space="0"/>
                    <w:right w:val="single" w:color="000000" w:sz="4" w:space="0"/>
                  </w:tcBorders>
                  <w:noWrap w:val="0"/>
                  <w:vAlign w:val="center"/>
                </w:tcPr>
                <w:p w14:paraId="33BFE804">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lang w:val="zh-CN"/>
                    </w:rPr>
                    <w:t>Ⅲ</w:t>
                  </w:r>
                  <w:r>
                    <w:rPr>
                      <w:rFonts w:hint="default" w:ascii="Times New Roman" w:hAnsi="Times New Roman" w:eastAsia="宋体" w:cs="Times New Roman"/>
                      <w:color w:val="000000"/>
                      <w:sz w:val="18"/>
                      <w:szCs w:val="18"/>
                    </w:rPr>
                    <w:t>类</w:t>
                  </w:r>
                </w:p>
              </w:tc>
              <w:tc>
                <w:tcPr>
                  <w:tcW w:w="1691" w:type="dxa"/>
                  <w:tcBorders>
                    <w:top w:val="single" w:color="auto" w:sz="4" w:space="0"/>
                    <w:left w:val="single" w:color="000000" w:sz="4" w:space="0"/>
                    <w:bottom w:val="single" w:color="000000" w:sz="4" w:space="0"/>
                    <w:right w:val="single" w:color="000000" w:sz="4" w:space="0"/>
                  </w:tcBorders>
                  <w:noWrap w:val="0"/>
                  <w:vAlign w:val="center"/>
                </w:tcPr>
                <w:p w14:paraId="77FD671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pH</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2FB318B4">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6~9</w:t>
                  </w:r>
                </w:p>
              </w:tc>
              <w:tc>
                <w:tcPr>
                  <w:tcW w:w="1060" w:type="dxa"/>
                  <w:vMerge w:val="restart"/>
                  <w:tcBorders>
                    <w:top w:val="single" w:color="000000" w:sz="4" w:space="0"/>
                    <w:left w:val="single" w:color="000000" w:sz="4" w:space="0"/>
                  </w:tcBorders>
                  <w:noWrap w:val="0"/>
                  <w:vAlign w:val="center"/>
                </w:tcPr>
                <w:p w14:paraId="75CCA56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rPr>
                    <w:t>附近地表水体大坳水库</w:t>
                  </w:r>
                  <w:r>
                    <w:rPr>
                      <w:rFonts w:hint="eastAsia" w:cs="Times New Roman"/>
                      <w:color w:val="000000"/>
                      <w:sz w:val="18"/>
                      <w:szCs w:val="18"/>
                      <w:lang w:eastAsia="zh-CN"/>
                    </w:rPr>
                    <w:t>、举水河</w:t>
                  </w:r>
                </w:p>
              </w:tc>
            </w:tr>
            <w:tr w14:paraId="25C6B91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0BD3D70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31F08D74">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101D4E10">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146058E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化学需氧量</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3987912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20mg/L</w:t>
                  </w:r>
                </w:p>
              </w:tc>
              <w:tc>
                <w:tcPr>
                  <w:tcW w:w="1060" w:type="dxa"/>
                  <w:vMerge w:val="continue"/>
                  <w:tcBorders>
                    <w:left w:val="single" w:color="000000" w:sz="4" w:space="0"/>
                  </w:tcBorders>
                  <w:noWrap w:val="0"/>
                  <w:vAlign w:val="center"/>
                </w:tcPr>
                <w:p w14:paraId="1836826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45CEF7A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614" w:type="dxa"/>
                  <w:vMerge w:val="continue"/>
                  <w:tcBorders>
                    <w:left w:val="nil"/>
                    <w:right w:val="single" w:color="000000" w:sz="4" w:space="0"/>
                  </w:tcBorders>
                  <w:noWrap w:val="0"/>
                  <w:vAlign w:val="center"/>
                </w:tcPr>
                <w:p w14:paraId="09A04E4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651E528F">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045F146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16FF2E4E">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氨氮</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16B55ED9">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1.0mg/L</w:t>
                  </w:r>
                </w:p>
              </w:tc>
              <w:tc>
                <w:tcPr>
                  <w:tcW w:w="1060" w:type="dxa"/>
                  <w:vMerge w:val="continue"/>
                  <w:tcBorders>
                    <w:left w:val="single" w:color="000000" w:sz="4" w:space="0"/>
                  </w:tcBorders>
                  <w:noWrap w:val="0"/>
                  <w:vAlign w:val="center"/>
                </w:tcPr>
                <w:p w14:paraId="08235D7E">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2FBDEDD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6A788F8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2D5710D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2C7B20A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55A71FA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总磷</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4C936988">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0.2mg/L</w:t>
                  </w:r>
                </w:p>
              </w:tc>
              <w:tc>
                <w:tcPr>
                  <w:tcW w:w="1060" w:type="dxa"/>
                  <w:vMerge w:val="continue"/>
                  <w:tcBorders>
                    <w:left w:val="single" w:color="000000" w:sz="4" w:space="0"/>
                  </w:tcBorders>
                  <w:noWrap w:val="0"/>
                  <w:vAlign w:val="center"/>
                </w:tcPr>
                <w:p w14:paraId="40388AA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722B5B5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7044C6A4">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17709B1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272821F8">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03E80F3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eastAsia" w:cs="Times New Roman"/>
                      <w:color w:val="000000"/>
                      <w:sz w:val="18"/>
                      <w:szCs w:val="18"/>
                      <w:lang w:eastAsia="zh-CN"/>
                    </w:rPr>
                    <w:t>高锰酸盐指数</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53DC736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lang w:val="en-US" w:eastAsia="zh-CN"/>
                    </w:rPr>
                    <w:t>6</w:t>
                  </w:r>
                  <w:r>
                    <w:rPr>
                      <w:rFonts w:hint="default" w:ascii="Times New Roman" w:hAnsi="Times New Roman" w:eastAsia="宋体" w:cs="Times New Roman"/>
                      <w:color w:val="000000"/>
                      <w:sz w:val="18"/>
                      <w:szCs w:val="18"/>
                    </w:rPr>
                    <w:t>mg/L</w:t>
                  </w:r>
                </w:p>
              </w:tc>
              <w:tc>
                <w:tcPr>
                  <w:tcW w:w="1060" w:type="dxa"/>
                  <w:vMerge w:val="continue"/>
                  <w:tcBorders>
                    <w:left w:val="single" w:color="000000" w:sz="4" w:space="0"/>
                  </w:tcBorders>
                  <w:noWrap w:val="0"/>
                  <w:vAlign w:val="center"/>
                </w:tcPr>
                <w:p w14:paraId="1E132048">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64FEB38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59EC324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restart"/>
                  <w:tcBorders>
                    <w:left w:val="single" w:color="000000" w:sz="4" w:space="0"/>
                    <w:right w:val="single" w:color="000000" w:sz="4" w:space="0"/>
                  </w:tcBorders>
                  <w:noWrap w:val="0"/>
                  <w:vAlign w:val="center"/>
                </w:tcPr>
                <w:p w14:paraId="6A1FB17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《地表水环境质量标准》（GB3838-2002）</w:t>
                  </w:r>
                </w:p>
              </w:tc>
              <w:tc>
                <w:tcPr>
                  <w:tcW w:w="632" w:type="dxa"/>
                  <w:vMerge w:val="restart"/>
                  <w:tcBorders>
                    <w:left w:val="single" w:color="000000" w:sz="4" w:space="0"/>
                    <w:right w:val="single" w:color="000000" w:sz="4" w:space="0"/>
                  </w:tcBorders>
                  <w:noWrap w:val="0"/>
                  <w:vAlign w:val="center"/>
                </w:tcPr>
                <w:p w14:paraId="35D724C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eastAsia" w:cs="Times New Roman"/>
                      <w:color w:val="000000"/>
                      <w:sz w:val="18"/>
                      <w:szCs w:val="18"/>
                      <w:lang w:eastAsia="zh-CN"/>
                    </w:rPr>
                    <w:t>Ⅳ</w:t>
                  </w:r>
                  <w:r>
                    <w:rPr>
                      <w:rFonts w:hint="default" w:ascii="Times New Roman" w:hAnsi="Times New Roman" w:eastAsia="宋体" w:cs="Times New Roman"/>
                      <w:color w:val="000000"/>
                      <w:sz w:val="18"/>
                      <w:szCs w:val="18"/>
                    </w:rPr>
                    <w:t>类</w:t>
                  </w: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5E40A9F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rPr>
                    <w:t>pH</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2C78191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6~9</w:t>
                  </w:r>
                </w:p>
              </w:tc>
              <w:tc>
                <w:tcPr>
                  <w:tcW w:w="1060" w:type="dxa"/>
                  <w:vMerge w:val="restart"/>
                  <w:tcBorders>
                    <w:left w:val="single" w:color="000000" w:sz="4" w:space="0"/>
                  </w:tcBorders>
                  <w:noWrap w:val="0"/>
                  <w:vAlign w:val="center"/>
                </w:tcPr>
                <w:p w14:paraId="17B39044">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附近地表水体麻溪河</w:t>
                  </w:r>
                </w:p>
              </w:tc>
            </w:tr>
            <w:tr w14:paraId="2463A2A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2D68838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7B062FF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0C2582F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4C39BFB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rPr>
                    <w:t>化学需氧量</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030070D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lang w:val="en-US" w:eastAsia="zh-CN"/>
                    </w:rPr>
                    <w:t>30</w:t>
                  </w:r>
                  <w:r>
                    <w:rPr>
                      <w:rFonts w:hint="default" w:ascii="Times New Roman" w:hAnsi="Times New Roman" w:eastAsia="宋体" w:cs="Times New Roman"/>
                      <w:color w:val="000000"/>
                      <w:sz w:val="18"/>
                      <w:szCs w:val="18"/>
                    </w:rPr>
                    <w:t>mg/L</w:t>
                  </w:r>
                </w:p>
              </w:tc>
              <w:tc>
                <w:tcPr>
                  <w:tcW w:w="1060" w:type="dxa"/>
                  <w:vMerge w:val="continue"/>
                  <w:tcBorders>
                    <w:left w:val="single" w:color="000000" w:sz="4" w:space="0"/>
                  </w:tcBorders>
                  <w:noWrap w:val="0"/>
                  <w:vAlign w:val="center"/>
                </w:tcPr>
                <w:p w14:paraId="0DB2026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136D36F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269A90E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433F197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66A9B8B4">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6F3FD6D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rPr>
                    <w:t>氨氮</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31EC9EE4">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lang w:val="en-US" w:eastAsia="zh-CN"/>
                    </w:rPr>
                    <w:t>1.5</w:t>
                  </w:r>
                  <w:r>
                    <w:rPr>
                      <w:rFonts w:hint="default" w:ascii="Times New Roman" w:hAnsi="Times New Roman" w:eastAsia="宋体" w:cs="Times New Roman"/>
                      <w:color w:val="000000"/>
                      <w:sz w:val="18"/>
                      <w:szCs w:val="18"/>
                    </w:rPr>
                    <w:t>mg/L</w:t>
                  </w:r>
                </w:p>
              </w:tc>
              <w:tc>
                <w:tcPr>
                  <w:tcW w:w="1060" w:type="dxa"/>
                  <w:vMerge w:val="continue"/>
                  <w:tcBorders>
                    <w:left w:val="single" w:color="000000" w:sz="4" w:space="0"/>
                  </w:tcBorders>
                  <w:noWrap w:val="0"/>
                  <w:vAlign w:val="center"/>
                </w:tcPr>
                <w:p w14:paraId="59903668">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2FE09BE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677BBF3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0F0D503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38D9CB1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1B5A75E8">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rPr>
                    <w:t>总磷</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5FDD735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lang w:val="en-US" w:eastAsia="zh-CN"/>
                    </w:rPr>
                    <w:t>0.3</w:t>
                  </w:r>
                  <w:r>
                    <w:rPr>
                      <w:rFonts w:hint="default" w:ascii="Times New Roman" w:hAnsi="Times New Roman" w:eastAsia="宋体" w:cs="Times New Roman"/>
                      <w:color w:val="000000"/>
                      <w:sz w:val="18"/>
                      <w:szCs w:val="18"/>
                    </w:rPr>
                    <w:t>mg/L</w:t>
                  </w:r>
                </w:p>
              </w:tc>
              <w:tc>
                <w:tcPr>
                  <w:tcW w:w="1060" w:type="dxa"/>
                  <w:vMerge w:val="continue"/>
                  <w:tcBorders>
                    <w:left w:val="single" w:color="000000" w:sz="4" w:space="0"/>
                  </w:tcBorders>
                  <w:noWrap w:val="0"/>
                  <w:vAlign w:val="center"/>
                </w:tcPr>
                <w:p w14:paraId="4100F8C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72C59EF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212F63C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2FDEAF1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7428C73F">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0F316418">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cs="Times New Roman"/>
                      <w:color w:val="000000"/>
                      <w:sz w:val="18"/>
                      <w:szCs w:val="18"/>
                      <w:lang w:eastAsia="zh-CN"/>
                    </w:rPr>
                    <w:t>高锰酸盐指数</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0FD1E36F">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lang w:val="en-US" w:eastAsia="zh-CN"/>
                    </w:rPr>
                    <w:t>10</w:t>
                  </w:r>
                  <w:r>
                    <w:rPr>
                      <w:rFonts w:hint="default" w:ascii="Times New Roman" w:hAnsi="Times New Roman" w:eastAsia="宋体" w:cs="Times New Roman"/>
                      <w:color w:val="000000"/>
                      <w:sz w:val="18"/>
                      <w:szCs w:val="18"/>
                    </w:rPr>
                    <w:t>mg/L</w:t>
                  </w:r>
                </w:p>
              </w:tc>
              <w:tc>
                <w:tcPr>
                  <w:tcW w:w="1060" w:type="dxa"/>
                  <w:vMerge w:val="continue"/>
                  <w:tcBorders>
                    <w:left w:val="single" w:color="000000" w:sz="4" w:space="0"/>
                  </w:tcBorders>
                  <w:noWrap w:val="0"/>
                  <w:vAlign w:val="center"/>
                </w:tcPr>
                <w:p w14:paraId="54FB055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6098293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614" w:type="dxa"/>
                  <w:vMerge w:val="restart"/>
                  <w:tcBorders>
                    <w:left w:val="nil"/>
                    <w:right w:val="single" w:color="000000" w:sz="4" w:space="0"/>
                  </w:tcBorders>
                  <w:noWrap w:val="0"/>
                  <w:vAlign w:val="center"/>
                </w:tcPr>
                <w:p w14:paraId="6F96F67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地下水环境</w:t>
                  </w:r>
                </w:p>
              </w:tc>
              <w:tc>
                <w:tcPr>
                  <w:tcW w:w="1436" w:type="dxa"/>
                  <w:vMerge w:val="restart"/>
                  <w:tcBorders>
                    <w:left w:val="single" w:color="000000" w:sz="4" w:space="0"/>
                    <w:right w:val="single" w:color="000000" w:sz="4" w:space="0"/>
                  </w:tcBorders>
                  <w:noWrap w:val="0"/>
                  <w:vAlign w:val="center"/>
                </w:tcPr>
                <w:p w14:paraId="354AECA4">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《地下水环境质量标准》</w:t>
                  </w:r>
                </w:p>
                <w:p w14:paraId="013AC73F">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（GB/T14848-2017）</w:t>
                  </w:r>
                </w:p>
              </w:tc>
              <w:tc>
                <w:tcPr>
                  <w:tcW w:w="632" w:type="dxa"/>
                  <w:vMerge w:val="restart"/>
                  <w:tcBorders>
                    <w:left w:val="single" w:color="000000" w:sz="4" w:space="0"/>
                    <w:right w:val="single" w:color="000000" w:sz="4" w:space="0"/>
                  </w:tcBorders>
                  <w:noWrap w:val="0"/>
                  <w:vAlign w:val="center"/>
                </w:tcPr>
                <w:p w14:paraId="7794EB5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fldChar w:fldCharType="begin"/>
                  </w:r>
                  <w:r>
                    <w:rPr>
                      <w:rFonts w:hint="default" w:ascii="Times New Roman" w:hAnsi="Times New Roman" w:eastAsia="宋体" w:cs="Times New Roman"/>
                      <w:color w:val="000000"/>
                      <w:sz w:val="18"/>
                      <w:szCs w:val="18"/>
                    </w:rPr>
                    <w:instrText xml:space="preserve"> = 3 \* ROMAN </w:instrText>
                  </w:r>
                  <w:r>
                    <w:rPr>
                      <w:rFonts w:hint="default" w:ascii="Times New Roman" w:hAnsi="Times New Roman" w:eastAsia="宋体" w:cs="Times New Roman"/>
                      <w:color w:val="000000"/>
                      <w:sz w:val="18"/>
                      <w:szCs w:val="18"/>
                    </w:rPr>
                    <w:fldChar w:fldCharType="separate"/>
                  </w:r>
                  <w:r>
                    <w:rPr>
                      <w:rFonts w:hint="default" w:ascii="Times New Roman" w:hAnsi="Times New Roman" w:eastAsia="宋体" w:cs="Times New Roman"/>
                      <w:color w:val="000000"/>
                      <w:sz w:val="18"/>
                      <w:szCs w:val="18"/>
                    </w:rPr>
                    <w:t>III</w:t>
                  </w:r>
                  <w:r>
                    <w:rPr>
                      <w:rFonts w:hint="default" w:ascii="Times New Roman" w:hAnsi="Times New Roman" w:eastAsia="宋体" w:cs="Times New Roman"/>
                      <w:color w:val="000000"/>
                      <w:sz w:val="18"/>
                      <w:szCs w:val="18"/>
                    </w:rPr>
                    <w:fldChar w:fldCharType="end"/>
                  </w:r>
                  <w:r>
                    <w:rPr>
                      <w:rFonts w:hint="default" w:ascii="Times New Roman" w:hAnsi="Times New Roman" w:eastAsia="宋体" w:cs="Times New Roman"/>
                      <w:color w:val="000000"/>
                      <w:sz w:val="18"/>
                      <w:szCs w:val="18"/>
                    </w:rPr>
                    <w:t>类</w:t>
                  </w: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61EC227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pH</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122A079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6.5~8.5</w:t>
                  </w:r>
                </w:p>
              </w:tc>
              <w:tc>
                <w:tcPr>
                  <w:tcW w:w="1060" w:type="dxa"/>
                  <w:vMerge w:val="restart"/>
                  <w:tcBorders>
                    <w:left w:val="single" w:color="000000" w:sz="4" w:space="0"/>
                  </w:tcBorders>
                  <w:noWrap w:val="0"/>
                  <w:vAlign w:val="center"/>
                </w:tcPr>
                <w:p w14:paraId="695A6548">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项目区域地下水</w:t>
                  </w:r>
                </w:p>
              </w:tc>
            </w:tr>
            <w:tr w14:paraId="4D4851B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3ADACA9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28E6DBD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120E2FB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4D6A1E3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溶解性总固体</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0C263107">
                  <w:pPr>
                    <w:pStyle w:val="5"/>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sz w:val="18"/>
                      <w:szCs w:val="18"/>
                    </w:rPr>
                    <w:t>1000</w:t>
                  </w:r>
                </w:p>
              </w:tc>
              <w:tc>
                <w:tcPr>
                  <w:tcW w:w="1060" w:type="dxa"/>
                  <w:vMerge w:val="continue"/>
                  <w:tcBorders>
                    <w:left w:val="single" w:color="000000" w:sz="4" w:space="0"/>
                  </w:tcBorders>
                  <w:noWrap w:val="0"/>
                  <w:vAlign w:val="center"/>
                </w:tcPr>
                <w:p w14:paraId="755C459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53E2CF8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78B06A5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7A033FA4">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0C53DB9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5DEC9A5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氨氮</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5ED00FF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≤0.5</w:t>
                  </w:r>
                </w:p>
              </w:tc>
              <w:tc>
                <w:tcPr>
                  <w:tcW w:w="1060" w:type="dxa"/>
                  <w:vMerge w:val="continue"/>
                  <w:tcBorders>
                    <w:left w:val="single" w:color="000000" w:sz="4" w:space="0"/>
                  </w:tcBorders>
                  <w:noWrap w:val="0"/>
                  <w:vAlign w:val="center"/>
                </w:tcPr>
                <w:p w14:paraId="24850AD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5B2C986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5733BD68">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2035CF7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5E3239E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2964922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硫酸盐</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030AEFB5">
                  <w:pPr>
                    <w:pStyle w:val="5"/>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sz w:val="18"/>
                      <w:szCs w:val="18"/>
                    </w:rPr>
                    <w:t>250</w:t>
                  </w:r>
                </w:p>
              </w:tc>
              <w:tc>
                <w:tcPr>
                  <w:tcW w:w="1060" w:type="dxa"/>
                  <w:vMerge w:val="continue"/>
                  <w:tcBorders>
                    <w:left w:val="single" w:color="000000" w:sz="4" w:space="0"/>
                  </w:tcBorders>
                  <w:noWrap w:val="0"/>
                  <w:vAlign w:val="center"/>
                </w:tcPr>
                <w:p w14:paraId="1365810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4DBC7ED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77E6FC4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7280DEB4">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503208B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66050B6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硝酸盐</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32CAF1E4">
                  <w:pPr>
                    <w:pStyle w:val="5"/>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sz w:val="18"/>
                      <w:szCs w:val="18"/>
                    </w:rPr>
                    <w:t>20.0</w:t>
                  </w:r>
                </w:p>
              </w:tc>
              <w:tc>
                <w:tcPr>
                  <w:tcW w:w="1060" w:type="dxa"/>
                  <w:vMerge w:val="continue"/>
                  <w:tcBorders>
                    <w:left w:val="single" w:color="000000" w:sz="4" w:space="0"/>
                  </w:tcBorders>
                  <w:noWrap w:val="0"/>
                  <w:vAlign w:val="center"/>
                </w:tcPr>
                <w:p w14:paraId="4D9AE50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41871E7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7656B1CE">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7B626C3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5634B85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4437951E">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亚硝酸盐</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2723CA41">
                  <w:pPr>
                    <w:pStyle w:val="5"/>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sz w:val="18"/>
                      <w:szCs w:val="18"/>
                    </w:rPr>
                    <w:t>1.00</w:t>
                  </w:r>
                </w:p>
              </w:tc>
              <w:tc>
                <w:tcPr>
                  <w:tcW w:w="1060" w:type="dxa"/>
                  <w:vMerge w:val="continue"/>
                  <w:tcBorders>
                    <w:left w:val="single" w:color="000000" w:sz="4" w:space="0"/>
                  </w:tcBorders>
                  <w:noWrap w:val="0"/>
                  <w:vAlign w:val="center"/>
                </w:tcPr>
                <w:p w14:paraId="663173D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0297648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0558FB0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7433BCA9">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710A5CA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5AFA3C7F">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氟化物</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30313B52">
                  <w:pPr>
                    <w:pStyle w:val="5"/>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sz w:val="18"/>
                      <w:szCs w:val="18"/>
                    </w:rPr>
                    <w:t>1.00</w:t>
                  </w:r>
                </w:p>
              </w:tc>
              <w:tc>
                <w:tcPr>
                  <w:tcW w:w="1060" w:type="dxa"/>
                  <w:vMerge w:val="continue"/>
                  <w:tcBorders>
                    <w:left w:val="single" w:color="000000" w:sz="4" w:space="0"/>
                  </w:tcBorders>
                  <w:noWrap w:val="0"/>
                  <w:vAlign w:val="center"/>
                </w:tcPr>
                <w:p w14:paraId="7C393E9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49B36BF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0E04968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78878C8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0BAF3CE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5A38C4B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挥发酚类</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344B2FFA">
                  <w:pPr>
                    <w:pStyle w:val="5"/>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color w:val="000000"/>
                      <w:sz w:val="18"/>
                      <w:szCs w:val="18"/>
                      <w:lang w:val="en-US" w:eastAsia="zh-CN"/>
                    </w:rPr>
                    <w:t>0.002</w:t>
                  </w:r>
                </w:p>
              </w:tc>
              <w:tc>
                <w:tcPr>
                  <w:tcW w:w="1060" w:type="dxa"/>
                  <w:vMerge w:val="continue"/>
                  <w:tcBorders>
                    <w:left w:val="single" w:color="000000" w:sz="4" w:space="0"/>
                  </w:tcBorders>
                  <w:noWrap w:val="0"/>
                  <w:vAlign w:val="center"/>
                </w:tcPr>
                <w:p w14:paraId="0F09DB6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39FDB5E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2E33C3AF">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1507266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4FE2CDA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6502E9C9">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氯化物</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5421261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≤250</w:t>
                  </w:r>
                </w:p>
              </w:tc>
              <w:tc>
                <w:tcPr>
                  <w:tcW w:w="1060" w:type="dxa"/>
                  <w:vMerge w:val="continue"/>
                  <w:tcBorders>
                    <w:left w:val="single" w:color="000000" w:sz="4" w:space="0"/>
                  </w:tcBorders>
                  <w:noWrap w:val="0"/>
                  <w:vAlign w:val="center"/>
                </w:tcPr>
                <w:p w14:paraId="7AEE46F9">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7FE3609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71C8A96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3883C02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21A45EE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427CAE7E">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总大肠菌群</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65CF946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sz w:val="18"/>
                      <w:szCs w:val="18"/>
                    </w:rPr>
                    <w:t>3.0</w:t>
                  </w:r>
                </w:p>
              </w:tc>
              <w:tc>
                <w:tcPr>
                  <w:tcW w:w="1060" w:type="dxa"/>
                  <w:vMerge w:val="continue"/>
                  <w:tcBorders>
                    <w:left w:val="single" w:color="000000" w:sz="4" w:space="0"/>
                  </w:tcBorders>
                  <w:noWrap w:val="0"/>
                  <w:vAlign w:val="center"/>
                </w:tcPr>
                <w:p w14:paraId="0182C84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4FD8063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587076F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68D448A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488AA27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6535A62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lang w:val="en-US" w:eastAsia="zh-CN"/>
                    </w:rPr>
                    <w:t>石油类</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7431484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sz w:val="18"/>
                      <w:szCs w:val="18"/>
                      <w:highlight w:val="none"/>
                      <w:lang w:val="en-US" w:eastAsia="zh-CN"/>
                    </w:rPr>
                    <w:t>0.05</w:t>
                  </w:r>
                </w:p>
              </w:tc>
              <w:tc>
                <w:tcPr>
                  <w:tcW w:w="1060" w:type="dxa"/>
                  <w:vMerge w:val="continue"/>
                  <w:tcBorders>
                    <w:left w:val="single" w:color="000000" w:sz="4" w:space="0"/>
                  </w:tcBorders>
                  <w:noWrap w:val="0"/>
                  <w:vAlign w:val="center"/>
                </w:tcPr>
                <w:p w14:paraId="123CCC3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309ACBB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4F8F80D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1F0D947E">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40A43F7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570E846F">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b w:val="0"/>
                      <w:bCs w:val="0"/>
                      <w:sz w:val="18"/>
                      <w:szCs w:val="18"/>
                    </w:rPr>
                    <w:t>砷</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2BAC9BA0">
                  <w:pPr>
                    <w:pStyle w:val="5"/>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sz w:val="18"/>
                      <w:szCs w:val="18"/>
                      <w:highlight w:val="none"/>
                      <w:lang w:val="en-US" w:eastAsia="zh-CN"/>
                    </w:rPr>
                    <w:t>0.01</w:t>
                  </w:r>
                </w:p>
              </w:tc>
              <w:tc>
                <w:tcPr>
                  <w:tcW w:w="1060" w:type="dxa"/>
                  <w:vMerge w:val="continue"/>
                  <w:tcBorders>
                    <w:left w:val="single" w:color="000000" w:sz="4" w:space="0"/>
                  </w:tcBorders>
                  <w:noWrap w:val="0"/>
                  <w:vAlign w:val="center"/>
                </w:tcPr>
                <w:p w14:paraId="431199B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008F672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3F00B66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42CF919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1EDA0434">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09B4C389">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b w:val="0"/>
                      <w:bCs w:val="0"/>
                      <w:sz w:val="18"/>
                      <w:szCs w:val="18"/>
                    </w:rPr>
                    <w:t>汞</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70FE5F94">
                  <w:pPr>
                    <w:pStyle w:val="5"/>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sz w:val="18"/>
                      <w:szCs w:val="18"/>
                      <w:highlight w:val="none"/>
                      <w:lang w:val="en-US" w:eastAsia="zh-CN"/>
                    </w:rPr>
                    <w:t>0.001</w:t>
                  </w:r>
                </w:p>
              </w:tc>
              <w:tc>
                <w:tcPr>
                  <w:tcW w:w="1060" w:type="dxa"/>
                  <w:vMerge w:val="continue"/>
                  <w:tcBorders>
                    <w:left w:val="single" w:color="000000" w:sz="4" w:space="0"/>
                  </w:tcBorders>
                  <w:noWrap w:val="0"/>
                  <w:vAlign w:val="center"/>
                </w:tcPr>
                <w:p w14:paraId="017E01B4">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48938AB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0ADDD5C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6C39B37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57E2E20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5E4B4220">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b w:val="0"/>
                      <w:bCs w:val="0"/>
                      <w:color w:val="000000"/>
                      <w:sz w:val="18"/>
                      <w:szCs w:val="18"/>
                    </w:rPr>
                    <w:t>六价铬</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7DC3423A">
                  <w:pPr>
                    <w:pStyle w:val="5"/>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sz w:val="18"/>
                      <w:szCs w:val="18"/>
                      <w:highlight w:val="none"/>
                    </w:rPr>
                    <w:t>0.0</w:t>
                  </w:r>
                  <w:r>
                    <w:rPr>
                      <w:rFonts w:hint="default" w:ascii="Times New Roman" w:hAnsi="Times New Roman" w:eastAsia="宋体" w:cs="Times New Roman"/>
                      <w:sz w:val="18"/>
                      <w:szCs w:val="18"/>
                      <w:highlight w:val="none"/>
                      <w:lang w:val="en-US" w:eastAsia="zh-CN"/>
                    </w:rPr>
                    <w:t>5</w:t>
                  </w:r>
                </w:p>
              </w:tc>
              <w:tc>
                <w:tcPr>
                  <w:tcW w:w="1060" w:type="dxa"/>
                  <w:vMerge w:val="continue"/>
                  <w:tcBorders>
                    <w:left w:val="single" w:color="000000" w:sz="4" w:space="0"/>
                  </w:tcBorders>
                  <w:noWrap w:val="0"/>
                  <w:vAlign w:val="center"/>
                </w:tcPr>
                <w:p w14:paraId="36E15CD8">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316EDC4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6EF8746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08702B8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55FE831C">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5DCAAD6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 w:val="0"/>
                      <w:bCs w:val="0"/>
                      <w:sz w:val="18"/>
                      <w:szCs w:val="18"/>
                    </w:rPr>
                    <w:t>铅</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431B417A">
                  <w:pPr>
                    <w:pStyle w:val="5"/>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sz w:val="18"/>
                      <w:szCs w:val="18"/>
                      <w:highlight w:val="none"/>
                      <w:lang w:val="en-US" w:eastAsia="zh-CN"/>
                    </w:rPr>
                    <w:t>0.01</w:t>
                  </w:r>
                </w:p>
              </w:tc>
              <w:tc>
                <w:tcPr>
                  <w:tcW w:w="1060" w:type="dxa"/>
                  <w:vMerge w:val="continue"/>
                  <w:tcBorders>
                    <w:left w:val="single" w:color="000000" w:sz="4" w:space="0"/>
                  </w:tcBorders>
                  <w:noWrap w:val="0"/>
                  <w:vAlign w:val="center"/>
                </w:tcPr>
                <w:p w14:paraId="1F5F9B0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1B8DA5C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14AB89E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6C6FC57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202E7947">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09E66E1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 w:val="0"/>
                      <w:bCs w:val="0"/>
                      <w:sz w:val="18"/>
                      <w:szCs w:val="18"/>
                    </w:rPr>
                    <w:t>镉</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5C2403C2">
                  <w:pPr>
                    <w:pStyle w:val="5"/>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sz w:val="18"/>
                      <w:szCs w:val="18"/>
                      <w:highlight w:val="none"/>
                    </w:rPr>
                    <w:t>0.</w:t>
                  </w:r>
                  <w:r>
                    <w:rPr>
                      <w:rFonts w:hint="default" w:ascii="Times New Roman" w:hAnsi="Times New Roman" w:eastAsia="宋体" w:cs="Times New Roman"/>
                      <w:sz w:val="18"/>
                      <w:szCs w:val="18"/>
                      <w:highlight w:val="none"/>
                      <w:lang w:val="en-US" w:eastAsia="zh-CN"/>
                    </w:rPr>
                    <w:t>005</w:t>
                  </w:r>
                </w:p>
              </w:tc>
              <w:tc>
                <w:tcPr>
                  <w:tcW w:w="1060" w:type="dxa"/>
                  <w:vMerge w:val="continue"/>
                  <w:tcBorders>
                    <w:left w:val="single" w:color="000000" w:sz="4" w:space="0"/>
                  </w:tcBorders>
                  <w:noWrap w:val="0"/>
                  <w:vAlign w:val="center"/>
                </w:tcPr>
                <w:p w14:paraId="7FE64CA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3332E2D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6BA076A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57D31D4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389AEAE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61195366">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b w:val="0"/>
                      <w:bCs w:val="0"/>
                      <w:sz w:val="18"/>
                      <w:szCs w:val="18"/>
                    </w:rPr>
                    <w:t>铁</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51E30E1B">
                  <w:pPr>
                    <w:pStyle w:val="5"/>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sz w:val="18"/>
                      <w:szCs w:val="18"/>
                      <w:highlight w:val="none"/>
                      <w:lang w:val="en-US" w:eastAsia="zh-CN"/>
                    </w:rPr>
                    <w:t>0.3</w:t>
                  </w:r>
                </w:p>
              </w:tc>
              <w:tc>
                <w:tcPr>
                  <w:tcW w:w="1060" w:type="dxa"/>
                  <w:vMerge w:val="continue"/>
                  <w:tcBorders>
                    <w:left w:val="single" w:color="000000" w:sz="4" w:space="0"/>
                  </w:tcBorders>
                  <w:noWrap w:val="0"/>
                  <w:vAlign w:val="center"/>
                </w:tcPr>
                <w:p w14:paraId="5E076DD3">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2ED0FB4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614" w:type="dxa"/>
                  <w:vMerge w:val="continue"/>
                  <w:tcBorders>
                    <w:left w:val="nil"/>
                    <w:right w:val="single" w:color="000000" w:sz="4" w:space="0"/>
                  </w:tcBorders>
                  <w:noWrap w:val="0"/>
                  <w:vAlign w:val="center"/>
                </w:tcPr>
                <w:p w14:paraId="3C5E2FB5">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436" w:type="dxa"/>
                  <w:vMerge w:val="continue"/>
                  <w:tcBorders>
                    <w:left w:val="single" w:color="000000" w:sz="4" w:space="0"/>
                    <w:right w:val="single" w:color="000000" w:sz="4" w:space="0"/>
                  </w:tcBorders>
                  <w:noWrap w:val="0"/>
                  <w:vAlign w:val="center"/>
                </w:tcPr>
                <w:p w14:paraId="2DECBEC8">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632" w:type="dxa"/>
                  <w:vMerge w:val="continue"/>
                  <w:tcBorders>
                    <w:left w:val="single" w:color="000000" w:sz="4" w:space="0"/>
                    <w:right w:val="single" w:color="000000" w:sz="4" w:space="0"/>
                  </w:tcBorders>
                  <w:noWrap w:val="0"/>
                  <w:vAlign w:val="center"/>
                </w:tcPr>
                <w:p w14:paraId="11FD7E12">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0"/>
                  <w:vAlign w:val="center"/>
                </w:tcPr>
                <w:p w14:paraId="3C1B6BDB">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b w:val="0"/>
                      <w:bCs w:val="0"/>
                      <w:sz w:val="18"/>
                      <w:szCs w:val="18"/>
                    </w:rPr>
                    <w:t>锰</w:t>
                  </w:r>
                </w:p>
              </w:tc>
              <w:tc>
                <w:tcPr>
                  <w:tcW w:w="3005" w:type="dxa"/>
                  <w:tcBorders>
                    <w:top w:val="single" w:color="000000" w:sz="4" w:space="0"/>
                    <w:left w:val="single" w:color="000000" w:sz="4" w:space="0"/>
                    <w:bottom w:val="single" w:color="000000" w:sz="4" w:space="0"/>
                    <w:right w:val="single" w:color="000000" w:sz="4" w:space="0"/>
                  </w:tcBorders>
                  <w:noWrap w:val="0"/>
                  <w:vAlign w:val="center"/>
                </w:tcPr>
                <w:p w14:paraId="187C0FD3">
                  <w:pPr>
                    <w:pStyle w:val="5"/>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w:t>
                  </w:r>
                  <w:r>
                    <w:rPr>
                      <w:rFonts w:hint="default" w:ascii="Times New Roman" w:hAnsi="Times New Roman" w:eastAsia="宋体" w:cs="Times New Roman"/>
                      <w:sz w:val="18"/>
                      <w:szCs w:val="18"/>
                      <w:highlight w:val="none"/>
                      <w:lang w:val="en-US" w:eastAsia="zh-CN"/>
                    </w:rPr>
                    <w:t>0.10</w:t>
                  </w:r>
                </w:p>
              </w:tc>
              <w:tc>
                <w:tcPr>
                  <w:tcW w:w="1060" w:type="dxa"/>
                  <w:vMerge w:val="continue"/>
                  <w:tcBorders>
                    <w:left w:val="single" w:color="000000" w:sz="4" w:space="0"/>
                  </w:tcBorders>
                  <w:noWrap w:val="0"/>
                  <w:vAlign w:val="center"/>
                </w:tcPr>
                <w:p w14:paraId="4BBE9979">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r>
            <w:tr w14:paraId="50FB985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54" w:hRule="atLeast"/>
                <w:jc w:val="center"/>
              </w:trPr>
              <w:tc>
                <w:tcPr>
                  <w:tcW w:w="614" w:type="dxa"/>
                  <w:tcBorders>
                    <w:left w:val="nil"/>
                    <w:bottom w:val="single" w:color="auto" w:sz="12" w:space="0"/>
                    <w:right w:val="single" w:color="000000" w:sz="4" w:space="0"/>
                  </w:tcBorders>
                  <w:noWrap w:val="0"/>
                  <w:vAlign w:val="center"/>
                </w:tcPr>
                <w:p w14:paraId="16FD443D">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声环境</w:t>
                  </w:r>
                </w:p>
              </w:tc>
              <w:tc>
                <w:tcPr>
                  <w:tcW w:w="1436" w:type="dxa"/>
                  <w:tcBorders>
                    <w:left w:val="single" w:color="000000" w:sz="4" w:space="0"/>
                    <w:bottom w:val="single" w:color="auto" w:sz="12" w:space="0"/>
                    <w:right w:val="single" w:color="000000" w:sz="4" w:space="0"/>
                  </w:tcBorders>
                  <w:noWrap w:val="0"/>
                  <w:vAlign w:val="center"/>
                </w:tcPr>
                <w:p w14:paraId="09B49F8F">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《声环境质量标准》（GB3096-2008）</w:t>
                  </w:r>
                </w:p>
              </w:tc>
              <w:tc>
                <w:tcPr>
                  <w:tcW w:w="632" w:type="dxa"/>
                  <w:tcBorders>
                    <w:left w:val="single" w:color="000000" w:sz="4" w:space="0"/>
                    <w:bottom w:val="single" w:color="auto" w:sz="12" w:space="0"/>
                    <w:right w:val="single" w:color="000000" w:sz="4" w:space="0"/>
                  </w:tcBorders>
                  <w:noWrap w:val="0"/>
                  <w:vAlign w:val="center"/>
                </w:tcPr>
                <w:p w14:paraId="52352D2A">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2类</w:t>
                  </w:r>
                </w:p>
              </w:tc>
              <w:tc>
                <w:tcPr>
                  <w:tcW w:w="1691" w:type="dxa"/>
                  <w:tcBorders>
                    <w:top w:val="single" w:color="000000" w:sz="4" w:space="0"/>
                    <w:left w:val="single" w:color="000000" w:sz="4" w:space="0"/>
                    <w:bottom w:val="single" w:color="auto" w:sz="12" w:space="0"/>
                    <w:right w:val="single" w:color="000000" w:sz="4" w:space="0"/>
                  </w:tcBorders>
                  <w:noWrap w:val="0"/>
                  <w:vAlign w:val="center"/>
                </w:tcPr>
                <w:p w14:paraId="4E6C042E">
                  <w:pPr>
                    <w:pStyle w:val="32"/>
                    <w:keepNext w:val="0"/>
                    <w:keepLines w:val="0"/>
                    <w:pageBreakBefore w:val="0"/>
                    <w:widowControl w:val="0"/>
                    <w:numPr>
                      <w:ilvl w:val="0"/>
                      <w:numId w:val="0"/>
                    </w:numPr>
                    <w:tabs>
                      <w:tab w:val="left" w:pos="709"/>
                    </w:tabs>
                    <w:kinsoku w:val="0"/>
                    <w:wordWrap/>
                    <w:overflowPunct/>
                    <w:topLinePunct w:val="0"/>
                    <w:autoSpaceDE/>
                    <w:autoSpaceDN/>
                    <w:bidi w:val="0"/>
                    <w:adjustRightInd w:val="0"/>
                    <w:snapToGrid w:val="0"/>
                    <w:spacing w:after="0" w:line="240" w:lineRule="auto"/>
                    <w:ind w:leftChars="0" w:right="0" w:right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等效连续A声级</w:t>
                  </w:r>
                </w:p>
              </w:tc>
              <w:tc>
                <w:tcPr>
                  <w:tcW w:w="3005" w:type="dxa"/>
                  <w:tcBorders>
                    <w:top w:val="single" w:color="000000" w:sz="4" w:space="0"/>
                    <w:left w:val="single" w:color="000000" w:sz="4" w:space="0"/>
                    <w:bottom w:val="single" w:color="auto" w:sz="12" w:space="0"/>
                    <w:right w:val="single" w:color="000000" w:sz="4" w:space="0"/>
                  </w:tcBorders>
                  <w:noWrap w:val="0"/>
                  <w:vAlign w:val="center"/>
                </w:tcPr>
                <w:p w14:paraId="47AF866E">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昼间60dB(A)</w:t>
                  </w:r>
                </w:p>
                <w:p w14:paraId="53B80351">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夜间50dB(A)</w:t>
                  </w:r>
                </w:p>
              </w:tc>
              <w:tc>
                <w:tcPr>
                  <w:tcW w:w="1060" w:type="dxa"/>
                  <w:tcBorders>
                    <w:left w:val="single" w:color="000000" w:sz="4" w:space="0"/>
                    <w:bottom w:val="single" w:color="auto" w:sz="12" w:space="0"/>
                  </w:tcBorders>
                  <w:noWrap w:val="0"/>
                  <w:vAlign w:val="center"/>
                </w:tcPr>
                <w:p w14:paraId="65ED71DE">
                  <w:pPr>
                    <w:keepNext w:val="0"/>
                    <w:keepLines w:val="0"/>
                    <w:pageBreakBefore w:val="0"/>
                    <w:widowControl w:val="0"/>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项目区域</w:t>
                  </w:r>
                </w:p>
              </w:tc>
            </w:tr>
          </w:tbl>
          <w:p w14:paraId="7A9D1EFB">
            <w:pPr>
              <w:pStyle w:val="2"/>
              <w:rPr>
                <w:rFonts w:hint="default"/>
                <w:lang w:val="en-US"/>
              </w:rPr>
            </w:pPr>
          </w:p>
          <w:p w14:paraId="4AED0189">
            <w:pPr>
              <w:spacing w:before="100"/>
              <w:rPr>
                <w:rFonts w:hint="default" w:ascii="Times New Roman" w:hAnsi="Times New Roman" w:cs="Times New Roman"/>
                <w:b/>
                <w:sz w:val="28"/>
              </w:rPr>
            </w:pPr>
          </w:p>
        </w:tc>
      </w:tr>
      <w:tr w14:paraId="5155B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2" w:hRule="atLeast"/>
          <w:jc w:val="center"/>
        </w:trPr>
        <w:tc>
          <w:tcPr>
            <w:tcW w:w="403" w:type="pct"/>
            <w:noWrap w:val="0"/>
            <w:vAlign w:val="center"/>
          </w:tcPr>
          <w:p w14:paraId="0C85FE77">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污</w:t>
            </w:r>
          </w:p>
          <w:p w14:paraId="4000980D">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染</w:t>
            </w:r>
          </w:p>
          <w:p w14:paraId="0A0C58B1">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物</w:t>
            </w:r>
          </w:p>
          <w:p w14:paraId="4863691F">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排</w:t>
            </w:r>
          </w:p>
          <w:p w14:paraId="6945975E">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放</w:t>
            </w:r>
          </w:p>
          <w:p w14:paraId="42499CC7">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标</w:t>
            </w:r>
          </w:p>
          <w:p w14:paraId="6323D0DE">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cs="Times New Roman"/>
                <w:sz w:val="28"/>
              </w:rPr>
            </w:pPr>
            <w:r>
              <w:rPr>
                <w:rFonts w:hint="default" w:ascii="Times New Roman" w:hAnsi="Times New Roman" w:eastAsia="宋体" w:cs="Times New Roman"/>
                <w:sz w:val="28"/>
                <w:lang w:val="en-US" w:eastAsia="zh-CN"/>
              </w:rPr>
              <w:t>准</w:t>
            </w:r>
          </w:p>
        </w:tc>
        <w:tc>
          <w:tcPr>
            <w:tcW w:w="4596" w:type="pct"/>
            <w:noWrap w:val="0"/>
            <w:vAlign w:val="top"/>
          </w:tcPr>
          <w:p w14:paraId="234C35D6">
            <w:pPr>
              <w:adjustRightInd w:val="0"/>
              <w:spacing w:line="360" w:lineRule="auto"/>
              <w:ind w:firstLine="480" w:firstLineChars="200"/>
              <w:jc w:val="both"/>
              <w:rPr>
                <w:rFonts w:hint="default" w:ascii="Times New Roman" w:hAnsi="Times New Roman" w:eastAsia="宋体" w:cs="Times New Roman"/>
                <w:sz w:val="24"/>
                <w:szCs w:val="24"/>
                <w:lang w:val="zh-CN"/>
              </w:rPr>
            </w:pPr>
            <w:r>
              <w:rPr>
                <w:rFonts w:hint="default" w:ascii="Times New Roman" w:hAnsi="Times New Roman" w:eastAsia="宋体" w:cs="Times New Roman"/>
                <w:color w:val="auto"/>
                <w:sz w:val="24"/>
                <w:szCs w:val="24"/>
                <w:lang w:val="zh-CN"/>
              </w:rPr>
              <w:t>依据本建设项目环境影响报告表和</w:t>
            </w:r>
            <w:r>
              <w:rPr>
                <w:rFonts w:hint="default" w:ascii="Times New Roman" w:hAnsi="Times New Roman" w:eastAsia="宋体" w:cs="Times New Roman"/>
                <w:color w:val="auto"/>
                <w:sz w:val="24"/>
                <w:szCs w:val="24"/>
                <w:lang w:val="en-US" w:eastAsia="zh-CN"/>
              </w:rPr>
              <w:t>黄</w:t>
            </w:r>
            <w:r>
              <w:rPr>
                <w:rFonts w:hint="default" w:ascii="Times New Roman" w:hAnsi="Times New Roman" w:eastAsia="宋体" w:cs="Times New Roman"/>
                <w:sz w:val="24"/>
                <w:szCs w:val="24"/>
                <w:lang w:val="en-US" w:eastAsia="zh-CN"/>
              </w:rPr>
              <w:t>冈市生态环境局</w:t>
            </w:r>
            <w:r>
              <w:rPr>
                <w:rFonts w:hint="eastAsia" w:cs="Times New Roman"/>
                <w:sz w:val="24"/>
                <w:szCs w:val="24"/>
                <w:lang w:val="en-US" w:eastAsia="zh-CN"/>
              </w:rPr>
              <w:t>麻城市</w:t>
            </w:r>
            <w:r>
              <w:rPr>
                <w:rFonts w:hint="default" w:ascii="Times New Roman" w:hAnsi="Times New Roman" w:eastAsia="宋体" w:cs="Times New Roman"/>
                <w:sz w:val="24"/>
                <w:szCs w:val="24"/>
                <w:lang w:val="en-US" w:eastAsia="zh-CN"/>
              </w:rPr>
              <w:t>分局</w:t>
            </w:r>
            <w:r>
              <w:rPr>
                <w:rFonts w:hint="default" w:ascii="Times New Roman" w:hAnsi="Times New Roman" w:eastAsia="宋体" w:cs="Times New Roman"/>
                <w:sz w:val="24"/>
                <w:szCs w:val="24"/>
                <w:lang w:val="zh-CN"/>
              </w:rPr>
              <w:t>下达本项目环境影响评价批复，</w:t>
            </w:r>
            <w:r>
              <w:rPr>
                <w:rFonts w:hint="default" w:ascii="Times New Roman" w:hAnsi="Times New Roman" w:eastAsia="宋体" w:cs="Times New Roman"/>
                <w:sz w:val="24"/>
                <w:szCs w:val="24"/>
                <w:lang w:val="en-US" w:eastAsia="zh-CN"/>
              </w:rPr>
              <w:t>结合国家法规、政策、标准。有新</w:t>
            </w:r>
            <w:r>
              <w:rPr>
                <w:rFonts w:hint="eastAsia" w:ascii="Times New Roman" w:hAnsi="Times New Roman" w:eastAsia="宋体" w:cs="Times New Roman"/>
                <w:sz w:val="24"/>
                <w:szCs w:val="24"/>
                <w:lang w:val="en-US" w:eastAsia="zh-CN"/>
              </w:rPr>
              <w:t>标准的</w:t>
            </w:r>
            <w:r>
              <w:rPr>
                <w:rFonts w:hint="default" w:ascii="Times New Roman" w:hAnsi="Times New Roman" w:eastAsia="宋体" w:cs="Times New Roman"/>
                <w:sz w:val="24"/>
                <w:szCs w:val="24"/>
                <w:lang w:val="en-US" w:eastAsia="zh-CN"/>
              </w:rPr>
              <w:t>按照新</w:t>
            </w:r>
            <w:r>
              <w:rPr>
                <w:rFonts w:hint="eastAsia" w:ascii="Times New Roman" w:hAnsi="Times New Roman" w:eastAsia="宋体" w:cs="Times New Roman"/>
                <w:sz w:val="24"/>
                <w:szCs w:val="24"/>
                <w:lang w:val="en-US" w:eastAsia="zh-CN"/>
              </w:rPr>
              <w:t>标准</w:t>
            </w:r>
            <w:r>
              <w:rPr>
                <w:rFonts w:hint="default" w:ascii="Times New Roman" w:hAnsi="Times New Roman" w:eastAsia="宋体" w:cs="Times New Roman"/>
                <w:sz w:val="24"/>
                <w:szCs w:val="24"/>
                <w:lang w:val="en-US" w:eastAsia="zh-CN"/>
              </w:rPr>
              <w:t>要求执行，</w:t>
            </w:r>
            <w:r>
              <w:rPr>
                <w:rFonts w:hint="default" w:ascii="Times New Roman" w:hAnsi="Times New Roman" w:eastAsia="宋体" w:cs="Times New Roman"/>
                <w:sz w:val="24"/>
                <w:szCs w:val="24"/>
                <w:lang w:val="zh-CN"/>
              </w:rPr>
              <w:t>本次验收监测执行标准如下：</w:t>
            </w:r>
          </w:p>
          <w:p w14:paraId="6049DA18">
            <w:pPr>
              <w:widowControl w:val="0"/>
              <w:adjustRightInd w:val="0"/>
              <w:spacing w:after="0" w:line="360" w:lineRule="auto"/>
              <w:ind w:firstLine="480" w:firstLineChars="200"/>
              <w:jc w:val="both"/>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废气：项目</w:t>
            </w:r>
            <w:r>
              <w:rPr>
                <w:rFonts w:hint="eastAsia" w:ascii="Times New Roman" w:hAnsi="Times New Roman" w:eastAsia="宋体" w:cs="Times New Roman"/>
                <w:kern w:val="2"/>
                <w:sz w:val="24"/>
                <w:szCs w:val="24"/>
                <w:lang w:val="en-US" w:eastAsia="zh-CN" w:bidi="ar-SA"/>
              </w:rPr>
              <w:t>运营期</w:t>
            </w:r>
            <w:r>
              <w:rPr>
                <w:rFonts w:hint="default" w:ascii="Times New Roman" w:hAnsi="Times New Roman" w:eastAsia="宋体" w:cs="Times New Roman"/>
                <w:kern w:val="2"/>
                <w:sz w:val="24"/>
                <w:szCs w:val="24"/>
                <w:lang w:val="en-US" w:eastAsia="zh-CN" w:bidi="ar-SA"/>
              </w:rPr>
              <w:t>废气排放执行《大气污染物综合排放标准》（GB16297-1996）表2中无组织排放监控浓度限值标准。</w:t>
            </w:r>
          </w:p>
          <w:p w14:paraId="20796E09">
            <w:pPr>
              <w:widowControl w:val="0"/>
              <w:adjustRightInd w:val="0"/>
              <w:spacing w:after="0"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2、废水：</w:t>
            </w:r>
            <w:r>
              <w:rPr>
                <w:rFonts w:hint="eastAsia"/>
                <w:color w:val="auto"/>
                <w:sz w:val="24"/>
                <w:szCs w:val="24"/>
              </w:rPr>
              <w:t>项目运营期</w:t>
            </w:r>
            <w:r>
              <w:rPr>
                <w:rFonts w:hint="eastAsia"/>
                <w:color w:val="auto"/>
                <w:sz w:val="24"/>
                <w:szCs w:val="24"/>
                <w:lang w:val="en-US" w:eastAsia="zh-CN"/>
              </w:rPr>
              <w:t>生活废水经一体化污水处理设备处理后，进入沉淀池，回用于矿区生产，不外排；生产废水废水应全部进入废水处理站处理后回用，不外排</w:t>
            </w:r>
            <w:r>
              <w:rPr>
                <w:rFonts w:hint="eastAsia"/>
                <w:color w:val="auto"/>
                <w:sz w:val="24"/>
                <w:szCs w:val="24"/>
                <w:lang w:eastAsia="zh-CN"/>
              </w:rPr>
              <w:t>。</w:t>
            </w:r>
          </w:p>
          <w:p w14:paraId="54C13334">
            <w:pPr>
              <w:widowControl w:val="0"/>
              <w:adjustRightInd w:val="0"/>
              <w:spacing w:after="0" w:line="360" w:lineRule="auto"/>
              <w:ind w:firstLine="480" w:firstLineChars="200"/>
              <w:jc w:val="both"/>
              <w:rPr>
                <w:rFonts w:hint="default" w:ascii="Times New Roman" w:hAnsi="Times New Roman" w:eastAsia="宋体" w:cs="Times New Roman"/>
                <w:color w:val="auto"/>
                <w:kern w:val="2"/>
                <w:sz w:val="24"/>
                <w:lang w:val="en-US" w:eastAsia="zh-CN" w:bidi="ar-SA"/>
              </w:rPr>
            </w:pPr>
            <w:r>
              <w:rPr>
                <w:rFonts w:hint="eastAsia"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噪声：项目</w:t>
            </w:r>
            <w:r>
              <w:rPr>
                <w:rFonts w:hint="eastAsia" w:ascii="Times New Roman" w:hAnsi="Times New Roman" w:eastAsia="宋体" w:cs="Times New Roman"/>
                <w:color w:val="auto"/>
                <w:kern w:val="2"/>
                <w:sz w:val="24"/>
                <w:szCs w:val="24"/>
                <w:lang w:val="en-US" w:eastAsia="zh-CN" w:bidi="ar-SA"/>
              </w:rPr>
              <w:t>运营期</w:t>
            </w:r>
            <w:r>
              <w:rPr>
                <w:rFonts w:hint="default" w:ascii="Times New Roman" w:hAnsi="Times New Roman" w:eastAsia="宋体" w:cs="Times New Roman"/>
                <w:color w:val="auto"/>
                <w:kern w:val="2"/>
                <w:sz w:val="24"/>
                <w:szCs w:val="24"/>
                <w:lang w:val="en-US" w:eastAsia="zh-CN" w:bidi="ar-SA"/>
              </w:rPr>
              <w:t>厂界噪声执行《工业企业厂界环境噪声排放标准》（GB12348-2008）2类标准</w:t>
            </w:r>
            <w:r>
              <w:rPr>
                <w:rFonts w:hint="default" w:ascii="Times New Roman" w:hAnsi="Times New Roman" w:eastAsia="宋体" w:cs="Times New Roman"/>
                <w:color w:val="auto"/>
                <w:kern w:val="2"/>
                <w:sz w:val="24"/>
                <w:lang w:val="en-US" w:eastAsia="zh-CN" w:bidi="ar-SA"/>
              </w:rPr>
              <w:t>。</w:t>
            </w:r>
          </w:p>
          <w:p w14:paraId="3AA26C8A">
            <w:pPr>
              <w:widowControl w:val="0"/>
              <w:adjustRightInd w:val="0"/>
              <w:spacing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lang w:val="en-US" w:eastAsia="zh-CN" w:bidi="ar-SA"/>
              </w:rPr>
              <w:t>4、</w:t>
            </w:r>
            <w:r>
              <w:rPr>
                <w:rFonts w:hint="eastAsia" w:ascii="Times New Roman" w:hAnsi="Times New Roman" w:eastAsia="宋体" w:cs="Times New Roman"/>
                <w:color w:val="auto"/>
                <w:kern w:val="2"/>
                <w:sz w:val="24"/>
                <w:lang w:val="en-US" w:eastAsia="zh-CN" w:bidi="ar-SA"/>
              </w:rPr>
              <w:t>固体废物：项目运营期一般工业固体废物执行《一般工业固体废物贮存和填埋污染控制标准》（GB18599-2020）中相关要求，危险废物执行《危险废物贮存污染控制标准》（GB18597-2023）中相关要求。</w:t>
            </w:r>
          </w:p>
          <w:p w14:paraId="6A414AD7">
            <w:pPr>
              <w:widowControl w:val="0"/>
              <w:adjustRightInd w:val="0"/>
              <w:spacing w:after="0" w:line="360" w:lineRule="auto"/>
              <w:ind w:firstLine="480" w:firstLineChars="200"/>
              <w:jc w:val="both"/>
              <w:rPr>
                <w:rFonts w:hint="default" w:ascii="Times New Roman" w:hAnsi="Times New Roman" w:eastAsia="宋体" w:cs="Times New Roman"/>
                <w:color w:val="auto"/>
                <w:kern w:val="2"/>
                <w:sz w:val="24"/>
                <w:lang w:val="zh-CN" w:eastAsia="zh-CN" w:bidi="ar-SA"/>
              </w:rPr>
            </w:pPr>
            <w:r>
              <w:rPr>
                <w:rFonts w:hint="default" w:ascii="Times New Roman" w:hAnsi="Times New Roman" w:eastAsia="宋体" w:cs="Times New Roman"/>
                <w:color w:val="auto"/>
                <w:kern w:val="2"/>
                <w:sz w:val="24"/>
                <w:lang w:val="zh-CN" w:eastAsia="zh-CN" w:bidi="ar-SA"/>
              </w:rPr>
              <w:t>本次验收监测污染物排放执行标准详见表</w:t>
            </w:r>
            <w:r>
              <w:rPr>
                <w:rFonts w:hint="default" w:ascii="Times New Roman" w:hAnsi="Times New Roman" w:eastAsia="宋体" w:cs="Times New Roman"/>
                <w:color w:val="auto"/>
                <w:kern w:val="2"/>
                <w:sz w:val="24"/>
                <w:lang w:val="en-US" w:eastAsia="zh-CN" w:bidi="ar-SA"/>
              </w:rPr>
              <w:t>3-2</w:t>
            </w:r>
            <w:r>
              <w:rPr>
                <w:rFonts w:hint="default" w:ascii="Times New Roman" w:hAnsi="Times New Roman" w:eastAsia="宋体" w:cs="Times New Roman"/>
                <w:color w:val="auto"/>
                <w:kern w:val="2"/>
                <w:sz w:val="24"/>
                <w:lang w:val="zh-CN" w:eastAsia="zh-CN" w:bidi="ar-SA"/>
              </w:rPr>
              <w:t>。</w:t>
            </w:r>
          </w:p>
          <w:p w14:paraId="372303E8">
            <w:pPr>
              <w:autoSpaceDE/>
              <w:autoSpaceDN/>
              <w:spacing w:before="156" w:beforeLines="50" w:line="240" w:lineRule="auto"/>
              <w:jc w:val="center"/>
              <w:rPr>
                <w:rFonts w:hint="default" w:ascii="Times New Roman" w:hAnsi="Times New Roman" w:eastAsia="宋体" w:cs="Times New Roman"/>
                <w:b/>
                <w:bCs/>
                <w:color w:val="auto"/>
                <w:kern w:val="2"/>
                <w:sz w:val="24"/>
                <w:lang w:val="en-US" w:bidi="ar-SA"/>
              </w:rPr>
            </w:pPr>
            <w:r>
              <w:rPr>
                <w:rFonts w:hint="default" w:ascii="Times New Roman" w:hAnsi="Times New Roman" w:eastAsia="宋体" w:cs="Times New Roman"/>
                <w:b/>
                <w:bCs/>
                <w:color w:val="auto"/>
                <w:kern w:val="2"/>
                <w:sz w:val="24"/>
                <w:lang w:val="en-US" w:bidi="ar-SA"/>
              </w:rPr>
              <w:t>表</w:t>
            </w:r>
            <w:r>
              <w:rPr>
                <w:rFonts w:hint="default" w:ascii="Times New Roman" w:hAnsi="Times New Roman" w:eastAsia="宋体" w:cs="Times New Roman"/>
                <w:b/>
                <w:bCs/>
                <w:color w:val="auto"/>
                <w:kern w:val="2"/>
                <w:sz w:val="24"/>
                <w:lang w:val="en-US" w:eastAsia="zh-CN" w:bidi="ar-SA"/>
              </w:rPr>
              <w:t xml:space="preserve">3-2  </w:t>
            </w:r>
            <w:r>
              <w:rPr>
                <w:rFonts w:hint="default" w:ascii="Times New Roman" w:hAnsi="Times New Roman" w:eastAsia="宋体" w:cs="Times New Roman"/>
                <w:b/>
                <w:bCs/>
                <w:color w:val="auto"/>
                <w:kern w:val="2"/>
                <w:sz w:val="24"/>
                <w:lang w:val="en-US" w:bidi="ar-SA"/>
              </w:rPr>
              <w:t>污染物排放标准一览表</w:t>
            </w:r>
          </w:p>
          <w:tbl>
            <w:tblPr>
              <w:tblStyle w:val="17"/>
              <w:tblW w:w="4899"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98"/>
              <w:gridCol w:w="2109"/>
              <w:gridCol w:w="836"/>
              <w:gridCol w:w="930"/>
              <w:gridCol w:w="957"/>
              <w:gridCol w:w="1454"/>
              <w:gridCol w:w="1391"/>
            </w:tblGrid>
            <w:tr w14:paraId="7EEAA8B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1" w:type="pct"/>
                  <w:vMerge w:val="restart"/>
                  <w:tcBorders>
                    <w:top w:val="single" w:color="000000" w:sz="12" w:space="0"/>
                  </w:tcBorders>
                  <w:noWrap w:val="0"/>
                  <w:vAlign w:val="center"/>
                </w:tcPr>
                <w:p w14:paraId="522FC0A5">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b/>
                      <w:bCs/>
                      <w:color w:val="000000"/>
                      <w:sz w:val="18"/>
                      <w:szCs w:val="18"/>
                    </w:rPr>
                  </w:pPr>
                  <w:r>
                    <w:rPr>
                      <w:rFonts w:ascii="Times New Roman" w:hAnsi="Times New Roman" w:cs="Times New Roman"/>
                      <w:b/>
                      <w:bCs/>
                      <w:color w:val="000000"/>
                      <w:sz w:val="18"/>
                      <w:szCs w:val="18"/>
                    </w:rPr>
                    <w:t>要素</w:t>
                  </w:r>
                </w:p>
                <w:p w14:paraId="3658B57D">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b/>
                      <w:bCs/>
                      <w:color w:val="000000"/>
                      <w:sz w:val="18"/>
                      <w:szCs w:val="18"/>
                    </w:rPr>
                  </w:pPr>
                  <w:r>
                    <w:rPr>
                      <w:rFonts w:ascii="Times New Roman" w:hAnsi="Times New Roman" w:cs="Times New Roman"/>
                      <w:b/>
                      <w:bCs/>
                      <w:color w:val="000000"/>
                      <w:sz w:val="18"/>
                      <w:szCs w:val="18"/>
                    </w:rPr>
                    <w:t>分类</w:t>
                  </w:r>
                </w:p>
              </w:tc>
              <w:tc>
                <w:tcPr>
                  <w:tcW w:w="1274" w:type="pct"/>
                  <w:vMerge w:val="restart"/>
                  <w:tcBorders>
                    <w:top w:val="single" w:color="000000" w:sz="12" w:space="0"/>
                  </w:tcBorders>
                  <w:noWrap w:val="0"/>
                  <w:vAlign w:val="center"/>
                </w:tcPr>
                <w:p w14:paraId="72B193F5">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b/>
                      <w:bCs/>
                      <w:color w:val="000000"/>
                      <w:sz w:val="18"/>
                      <w:szCs w:val="18"/>
                    </w:rPr>
                  </w:pPr>
                  <w:r>
                    <w:rPr>
                      <w:rFonts w:ascii="Times New Roman" w:hAnsi="Times New Roman" w:cs="Times New Roman"/>
                      <w:b/>
                      <w:bCs/>
                      <w:color w:val="000000"/>
                      <w:sz w:val="18"/>
                      <w:szCs w:val="18"/>
                    </w:rPr>
                    <w:t>标准名称</w:t>
                  </w:r>
                </w:p>
              </w:tc>
              <w:tc>
                <w:tcPr>
                  <w:tcW w:w="505" w:type="pct"/>
                  <w:vMerge w:val="restart"/>
                  <w:tcBorders>
                    <w:top w:val="single" w:color="000000" w:sz="12" w:space="0"/>
                  </w:tcBorders>
                  <w:noWrap w:val="0"/>
                  <w:vAlign w:val="center"/>
                </w:tcPr>
                <w:p w14:paraId="42BC5A1D">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b/>
                      <w:bCs/>
                      <w:color w:val="000000"/>
                      <w:sz w:val="18"/>
                      <w:szCs w:val="18"/>
                    </w:rPr>
                  </w:pPr>
                  <w:r>
                    <w:rPr>
                      <w:rFonts w:ascii="Times New Roman" w:hAnsi="Times New Roman" w:cs="Times New Roman"/>
                      <w:b/>
                      <w:bCs/>
                      <w:color w:val="000000"/>
                      <w:sz w:val="18"/>
                      <w:szCs w:val="18"/>
                    </w:rPr>
                    <w:t>适用类别</w:t>
                  </w:r>
                </w:p>
              </w:tc>
              <w:tc>
                <w:tcPr>
                  <w:tcW w:w="2018" w:type="pct"/>
                  <w:gridSpan w:val="3"/>
                  <w:tcBorders>
                    <w:top w:val="single" w:color="000000" w:sz="12" w:space="0"/>
                  </w:tcBorders>
                  <w:noWrap w:val="0"/>
                  <w:vAlign w:val="center"/>
                </w:tcPr>
                <w:p w14:paraId="56400878">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b/>
                      <w:bCs/>
                      <w:color w:val="000000"/>
                      <w:sz w:val="18"/>
                      <w:szCs w:val="18"/>
                    </w:rPr>
                  </w:pPr>
                  <w:r>
                    <w:rPr>
                      <w:rFonts w:ascii="Times New Roman" w:hAnsi="Times New Roman" w:cs="Times New Roman"/>
                      <w:b/>
                      <w:bCs/>
                      <w:color w:val="000000"/>
                      <w:sz w:val="18"/>
                      <w:szCs w:val="18"/>
                    </w:rPr>
                    <w:t>标准限值</w:t>
                  </w:r>
                </w:p>
              </w:tc>
              <w:tc>
                <w:tcPr>
                  <w:tcW w:w="840" w:type="pct"/>
                  <w:vMerge w:val="restart"/>
                  <w:tcBorders>
                    <w:top w:val="single" w:color="000000" w:sz="12" w:space="0"/>
                    <w:bottom w:val="single" w:color="000000" w:sz="12" w:space="0"/>
                  </w:tcBorders>
                  <w:noWrap w:val="0"/>
                  <w:vAlign w:val="center"/>
                </w:tcPr>
                <w:p w14:paraId="32CD8B57">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color w:val="000000"/>
                      <w:sz w:val="18"/>
                      <w:szCs w:val="18"/>
                    </w:rPr>
                  </w:pPr>
                  <w:r>
                    <w:rPr>
                      <w:rFonts w:ascii="Times New Roman" w:hAnsi="Times New Roman" w:cs="Times New Roman"/>
                      <w:b/>
                      <w:bCs/>
                      <w:color w:val="000000"/>
                      <w:sz w:val="18"/>
                      <w:szCs w:val="18"/>
                    </w:rPr>
                    <w:t>评价对象</w:t>
                  </w:r>
                </w:p>
              </w:tc>
            </w:tr>
            <w:tr w14:paraId="20A55C9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1" w:type="pct"/>
                  <w:vMerge w:val="continue"/>
                  <w:tcBorders>
                    <w:bottom w:val="single" w:color="000000" w:sz="12" w:space="0"/>
                  </w:tcBorders>
                  <w:noWrap w:val="0"/>
                  <w:vAlign w:val="center"/>
                </w:tcPr>
                <w:p w14:paraId="24743B0A">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b/>
                      <w:bCs/>
                      <w:color w:val="000000"/>
                      <w:sz w:val="18"/>
                      <w:szCs w:val="18"/>
                    </w:rPr>
                  </w:pPr>
                </w:p>
              </w:tc>
              <w:tc>
                <w:tcPr>
                  <w:tcW w:w="1274" w:type="pct"/>
                  <w:vMerge w:val="continue"/>
                  <w:tcBorders>
                    <w:bottom w:val="single" w:color="000000" w:sz="12" w:space="0"/>
                  </w:tcBorders>
                  <w:noWrap w:val="0"/>
                  <w:vAlign w:val="center"/>
                </w:tcPr>
                <w:p w14:paraId="092FB6BB">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b/>
                      <w:bCs/>
                      <w:color w:val="000000"/>
                      <w:sz w:val="18"/>
                      <w:szCs w:val="18"/>
                    </w:rPr>
                  </w:pPr>
                </w:p>
              </w:tc>
              <w:tc>
                <w:tcPr>
                  <w:tcW w:w="505" w:type="pct"/>
                  <w:vMerge w:val="continue"/>
                  <w:tcBorders>
                    <w:bottom w:val="single" w:color="000000" w:sz="12" w:space="0"/>
                  </w:tcBorders>
                  <w:noWrap w:val="0"/>
                  <w:vAlign w:val="center"/>
                </w:tcPr>
                <w:p w14:paraId="761B88DE">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b/>
                      <w:bCs/>
                      <w:color w:val="000000"/>
                      <w:sz w:val="18"/>
                      <w:szCs w:val="18"/>
                    </w:rPr>
                  </w:pPr>
                </w:p>
              </w:tc>
              <w:tc>
                <w:tcPr>
                  <w:tcW w:w="1140" w:type="pct"/>
                  <w:gridSpan w:val="2"/>
                  <w:tcBorders>
                    <w:bottom w:val="single" w:color="000000" w:sz="12" w:space="0"/>
                  </w:tcBorders>
                  <w:noWrap w:val="0"/>
                  <w:vAlign w:val="center"/>
                </w:tcPr>
                <w:p w14:paraId="51A3250C">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b/>
                      <w:bCs/>
                      <w:color w:val="000000"/>
                      <w:sz w:val="18"/>
                      <w:szCs w:val="18"/>
                    </w:rPr>
                  </w:pPr>
                  <w:r>
                    <w:rPr>
                      <w:rFonts w:ascii="Times New Roman" w:hAnsi="Times New Roman" w:cs="Times New Roman"/>
                      <w:b/>
                      <w:bCs/>
                      <w:color w:val="000000"/>
                      <w:sz w:val="18"/>
                      <w:szCs w:val="18"/>
                    </w:rPr>
                    <w:t>参数名称</w:t>
                  </w:r>
                </w:p>
              </w:tc>
              <w:tc>
                <w:tcPr>
                  <w:tcW w:w="878" w:type="pct"/>
                  <w:tcBorders>
                    <w:bottom w:val="single" w:color="000000" w:sz="12" w:space="0"/>
                  </w:tcBorders>
                  <w:noWrap w:val="0"/>
                  <w:vAlign w:val="center"/>
                </w:tcPr>
                <w:p w14:paraId="5F47F614">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b/>
                      <w:bCs/>
                      <w:color w:val="000000"/>
                      <w:sz w:val="18"/>
                      <w:szCs w:val="18"/>
                    </w:rPr>
                  </w:pPr>
                  <w:r>
                    <w:rPr>
                      <w:rFonts w:ascii="Times New Roman" w:hAnsi="Times New Roman" w:cs="Times New Roman"/>
                      <w:b/>
                      <w:bCs/>
                      <w:color w:val="000000"/>
                      <w:sz w:val="18"/>
                      <w:szCs w:val="18"/>
                    </w:rPr>
                    <w:t>限值</w:t>
                  </w:r>
                </w:p>
              </w:tc>
              <w:tc>
                <w:tcPr>
                  <w:tcW w:w="840" w:type="pct"/>
                  <w:vMerge w:val="continue"/>
                  <w:tcBorders>
                    <w:top w:val="single" w:color="000000" w:sz="12" w:space="0"/>
                    <w:bottom w:val="single" w:color="000000" w:sz="12" w:space="0"/>
                  </w:tcBorders>
                  <w:noWrap w:val="0"/>
                  <w:vAlign w:val="center"/>
                </w:tcPr>
                <w:p w14:paraId="565D001F">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color w:val="000000"/>
                      <w:sz w:val="18"/>
                      <w:szCs w:val="18"/>
                    </w:rPr>
                  </w:pPr>
                </w:p>
              </w:tc>
            </w:tr>
            <w:tr w14:paraId="470776E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283" w:hRule="atLeast"/>
                <w:jc w:val="center"/>
              </w:trPr>
              <w:tc>
                <w:tcPr>
                  <w:tcW w:w="361" w:type="pct"/>
                  <w:tcBorders>
                    <w:top w:val="single" w:color="000000" w:sz="12" w:space="0"/>
                  </w:tcBorders>
                  <w:noWrap w:val="0"/>
                  <w:vAlign w:val="center"/>
                </w:tcPr>
                <w:p w14:paraId="036DD89E">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hint="eastAsia" w:ascii="Times New Roman" w:hAnsi="Times New Roman" w:eastAsia="宋体" w:cs="Times New Roman"/>
                      <w:color w:val="000000"/>
                      <w:sz w:val="18"/>
                      <w:szCs w:val="18"/>
                      <w:lang w:eastAsia="zh-CN"/>
                    </w:rPr>
                  </w:pPr>
                  <w:r>
                    <w:rPr>
                      <w:rFonts w:hint="eastAsia" w:ascii="Times New Roman" w:hAnsi="Times New Roman" w:cs="Times New Roman"/>
                      <w:color w:val="000000"/>
                      <w:sz w:val="18"/>
                      <w:szCs w:val="18"/>
                      <w:lang w:eastAsia="zh-CN"/>
                    </w:rPr>
                    <w:t>废气</w:t>
                  </w:r>
                </w:p>
              </w:tc>
              <w:tc>
                <w:tcPr>
                  <w:tcW w:w="1274" w:type="pct"/>
                  <w:tcBorders>
                    <w:top w:val="single" w:color="000000" w:sz="12" w:space="0"/>
                  </w:tcBorders>
                  <w:noWrap w:val="0"/>
                  <w:vAlign w:val="center"/>
                </w:tcPr>
                <w:p w14:paraId="764692E9">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color w:val="000000"/>
                      <w:sz w:val="18"/>
                      <w:szCs w:val="18"/>
                    </w:rPr>
                  </w:pPr>
                  <w:r>
                    <w:rPr>
                      <w:rFonts w:hint="eastAsia" w:ascii="Times New Roman" w:hAnsi="Times New Roman" w:cs="Times New Roman"/>
                      <w:color w:val="000000"/>
                      <w:sz w:val="18"/>
                      <w:szCs w:val="18"/>
                    </w:rPr>
                    <w:t>《大气污染物综合排放标准》（GB16297-1996）</w:t>
                  </w:r>
                </w:p>
              </w:tc>
              <w:tc>
                <w:tcPr>
                  <w:tcW w:w="505" w:type="pct"/>
                  <w:tcBorders>
                    <w:top w:val="single" w:color="000000" w:sz="12" w:space="0"/>
                  </w:tcBorders>
                  <w:noWrap w:val="0"/>
                  <w:vAlign w:val="center"/>
                </w:tcPr>
                <w:p w14:paraId="0CD26165">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hint="default" w:ascii="Times New Roman" w:hAnsi="Times New Roman" w:cs="Times New Roman"/>
                      <w:bCs/>
                      <w:color w:val="000000"/>
                      <w:sz w:val="18"/>
                      <w:szCs w:val="18"/>
                      <w:lang w:val="en-US" w:eastAsia="zh-CN"/>
                    </w:rPr>
                  </w:pPr>
                  <w:r>
                    <w:rPr>
                      <w:rFonts w:hint="default" w:ascii="Times New Roman" w:hAnsi="Times New Roman" w:cs="Times New Roman"/>
                      <w:bCs/>
                      <w:color w:val="000000"/>
                      <w:sz w:val="18"/>
                      <w:szCs w:val="18"/>
                      <w:lang w:val="en-US" w:eastAsia="zh-CN"/>
                    </w:rPr>
                    <w:t>表2</w:t>
                  </w:r>
                </w:p>
              </w:tc>
              <w:tc>
                <w:tcPr>
                  <w:tcW w:w="562" w:type="pct"/>
                  <w:tcBorders>
                    <w:top w:val="single" w:color="000000" w:sz="12" w:space="0"/>
                  </w:tcBorders>
                  <w:noWrap w:val="0"/>
                  <w:vAlign w:val="center"/>
                </w:tcPr>
                <w:p w14:paraId="05991E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rFonts w:hint="default" w:ascii="Times New Roman" w:hAnsi="Times New Roman" w:eastAsia="宋体" w:cs="Times New Roman"/>
                      <w:color w:val="000000"/>
                      <w:sz w:val="18"/>
                      <w:szCs w:val="18"/>
                    </w:rPr>
                    <w:t>颗粒物</w:t>
                  </w:r>
                </w:p>
              </w:tc>
              <w:tc>
                <w:tcPr>
                  <w:tcW w:w="578" w:type="pct"/>
                  <w:tcBorders>
                    <w:top w:val="single" w:color="000000" w:sz="12" w:space="0"/>
                  </w:tcBorders>
                  <w:noWrap w:val="0"/>
                  <w:vAlign w:val="center"/>
                </w:tcPr>
                <w:p w14:paraId="1C60AD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rFonts w:hint="default" w:ascii="Times New Roman" w:hAnsi="Times New Roman" w:eastAsia="宋体" w:cs="Times New Roman"/>
                      <w:color w:val="000000"/>
                      <w:sz w:val="18"/>
                      <w:szCs w:val="18"/>
                    </w:rPr>
                    <w:t>无组织</w:t>
                  </w:r>
                </w:p>
              </w:tc>
              <w:tc>
                <w:tcPr>
                  <w:tcW w:w="878" w:type="pct"/>
                  <w:tcBorders>
                    <w:top w:val="single" w:color="000000" w:sz="12" w:space="0"/>
                  </w:tcBorders>
                  <w:noWrap w:val="0"/>
                  <w:vAlign w:val="center"/>
                </w:tcPr>
                <w:p w14:paraId="718AA2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color w:val="000000"/>
                      <w:sz w:val="18"/>
                      <w:szCs w:val="18"/>
                    </w:rPr>
                  </w:pPr>
                  <w:r>
                    <w:rPr>
                      <w:rFonts w:hint="default" w:ascii="Times New Roman" w:hAnsi="Times New Roman" w:eastAsia="宋体" w:cs="Times New Roman"/>
                      <w:color w:val="000000"/>
                      <w:sz w:val="18"/>
                      <w:szCs w:val="18"/>
                    </w:rPr>
                    <w:t>监控点浓度限值1.0mg/m</w:t>
                  </w:r>
                  <w:r>
                    <w:rPr>
                      <w:rFonts w:hint="default" w:ascii="Times New Roman" w:hAnsi="Times New Roman" w:eastAsia="宋体" w:cs="Times New Roman"/>
                      <w:color w:val="000000"/>
                      <w:sz w:val="18"/>
                      <w:szCs w:val="18"/>
                      <w:vertAlign w:val="superscript"/>
                    </w:rPr>
                    <w:t>3</w:t>
                  </w:r>
                </w:p>
              </w:tc>
              <w:tc>
                <w:tcPr>
                  <w:tcW w:w="840" w:type="pct"/>
                  <w:tcBorders>
                    <w:top w:val="single" w:color="000000" w:sz="12" w:space="0"/>
                    <w:bottom w:val="single" w:color="000000" w:sz="4" w:space="0"/>
                  </w:tcBorders>
                  <w:noWrap w:val="0"/>
                  <w:vAlign w:val="center"/>
                </w:tcPr>
                <w:p w14:paraId="6505D686">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hint="default" w:ascii="Times New Roman" w:hAnsi="Times New Roman" w:eastAsia="宋体" w:cs="Times New Roman"/>
                      <w:color w:val="000000"/>
                      <w:sz w:val="18"/>
                      <w:szCs w:val="18"/>
                      <w:lang w:eastAsia="zh-CN"/>
                    </w:rPr>
                  </w:pPr>
                  <w:r>
                    <w:rPr>
                      <w:rFonts w:hint="eastAsia" w:ascii="Times New Roman" w:hAnsi="Times New Roman" w:eastAsia="宋体" w:cs="Times New Roman"/>
                      <w:color w:val="000000"/>
                      <w:sz w:val="18"/>
                      <w:szCs w:val="18"/>
                      <w:lang w:eastAsia="zh-CN"/>
                    </w:rPr>
                    <w:t>生产排放废气</w:t>
                  </w:r>
                </w:p>
              </w:tc>
            </w:tr>
            <w:tr w14:paraId="471A75E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1" w:type="pct"/>
                  <w:noWrap w:val="0"/>
                  <w:vAlign w:val="center"/>
                </w:tcPr>
                <w:p w14:paraId="6B0A0A6D">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噪声</w:t>
                  </w:r>
                </w:p>
              </w:tc>
              <w:tc>
                <w:tcPr>
                  <w:tcW w:w="1274" w:type="pct"/>
                  <w:noWrap w:val="0"/>
                  <w:vAlign w:val="center"/>
                </w:tcPr>
                <w:p w14:paraId="1B70863E">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《工业企业厂界环境噪声排放标准》（B12348-2008）</w:t>
                  </w:r>
                </w:p>
              </w:tc>
              <w:tc>
                <w:tcPr>
                  <w:tcW w:w="505" w:type="pct"/>
                  <w:noWrap w:val="0"/>
                  <w:vAlign w:val="center"/>
                </w:tcPr>
                <w:p w14:paraId="5A55BB25">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color w:val="000000"/>
                      <w:sz w:val="18"/>
                      <w:szCs w:val="18"/>
                    </w:rPr>
                  </w:pPr>
                  <w:r>
                    <w:rPr>
                      <w:rFonts w:hint="default" w:ascii="Times New Roman" w:hAnsi="Times New Roman" w:cs="Times New Roman"/>
                      <w:bCs/>
                      <w:color w:val="000000"/>
                      <w:sz w:val="18"/>
                      <w:szCs w:val="18"/>
                      <w:lang w:val="en-US" w:eastAsia="zh-CN"/>
                    </w:rPr>
                    <w:t>2</w:t>
                  </w:r>
                  <w:r>
                    <w:rPr>
                      <w:rFonts w:ascii="Times New Roman" w:hAnsi="Times New Roman" w:cs="Times New Roman"/>
                      <w:bCs/>
                      <w:color w:val="000000"/>
                      <w:sz w:val="18"/>
                      <w:szCs w:val="18"/>
                    </w:rPr>
                    <w:t>类</w:t>
                  </w:r>
                </w:p>
              </w:tc>
              <w:tc>
                <w:tcPr>
                  <w:tcW w:w="1140" w:type="pct"/>
                  <w:gridSpan w:val="2"/>
                  <w:noWrap w:val="0"/>
                  <w:vAlign w:val="center"/>
                </w:tcPr>
                <w:p w14:paraId="2097B843">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等效连续</w:t>
                  </w:r>
                </w:p>
                <w:p w14:paraId="0CE8CB94">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A声级</w:t>
                  </w:r>
                </w:p>
              </w:tc>
              <w:tc>
                <w:tcPr>
                  <w:tcW w:w="878" w:type="pct"/>
                  <w:noWrap w:val="0"/>
                  <w:vAlign w:val="center"/>
                </w:tcPr>
                <w:p w14:paraId="5C4EEC2D">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昼间</w:t>
                  </w:r>
                  <w:r>
                    <w:rPr>
                      <w:rFonts w:hint="default" w:ascii="Times New Roman" w:hAnsi="Times New Roman" w:cs="Times New Roman"/>
                      <w:color w:val="000000"/>
                      <w:sz w:val="18"/>
                      <w:szCs w:val="18"/>
                      <w:lang w:val="en-US" w:eastAsia="zh-CN"/>
                    </w:rPr>
                    <w:t>60</w:t>
                  </w:r>
                  <w:r>
                    <w:rPr>
                      <w:rFonts w:ascii="Times New Roman" w:hAnsi="Times New Roman" w:cs="Times New Roman"/>
                      <w:color w:val="000000"/>
                      <w:sz w:val="18"/>
                      <w:szCs w:val="18"/>
                    </w:rPr>
                    <w:t>dB(A)</w:t>
                  </w:r>
                </w:p>
                <w:p w14:paraId="294769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cs="Times New Roman"/>
                      <w:color w:val="000000"/>
                      <w:sz w:val="18"/>
                      <w:szCs w:val="18"/>
                    </w:rPr>
                  </w:pPr>
                  <w:r>
                    <w:rPr>
                      <w:rFonts w:ascii="Times New Roman" w:hAnsi="Times New Roman" w:cs="Times New Roman"/>
                      <w:color w:val="000000"/>
                      <w:sz w:val="18"/>
                      <w:szCs w:val="18"/>
                    </w:rPr>
                    <w:t>夜间</w:t>
                  </w:r>
                  <w:r>
                    <w:rPr>
                      <w:rFonts w:hint="default" w:ascii="Times New Roman" w:hAnsi="Times New Roman" w:cs="Times New Roman"/>
                      <w:color w:val="000000"/>
                      <w:sz w:val="18"/>
                      <w:szCs w:val="18"/>
                      <w:lang w:val="en-US" w:eastAsia="zh-CN"/>
                    </w:rPr>
                    <w:t>50</w:t>
                  </w:r>
                  <w:r>
                    <w:rPr>
                      <w:rFonts w:ascii="Times New Roman" w:hAnsi="Times New Roman" w:cs="Times New Roman"/>
                      <w:color w:val="000000"/>
                      <w:sz w:val="18"/>
                      <w:szCs w:val="18"/>
                    </w:rPr>
                    <w:t>dB(A)</w:t>
                  </w:r>
                </w:p>
              </w:tc>
              <w:tc>
                <w:tcPr>
                  <w:tcW w:w="840" w:type="pct"/>
                  <w:tcBorders>
                    <w:top w:val="single" w:color="000000" w:sz="4" w:space="0"/>
                    <w:bottom w:val="single" w:color="000000" w:sz="4" w:space="0"/>
                  </w:tcBorders>
                  <w:noWrap w:val="0"/>
                  <w:vAlign w:val="center"/>
                </w:tcPr>
                <w:p w14:paraId="10D7A1AD">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hint="default" w:ascii="Times New Roman" w:hAnsi="Times New Roman" w:eastAsia="宋体" w:cs="Times New Roman"/>
                      <w:color w:val="000000"/>
                      <w:sz w:val="18"/>
                      <w:szCs w:val="18"/>
                      <w:lang w:eastAsia="zh-CN"/>
                    </w:rPr>
                  </w:pPr>
                  <w:r>
                    <w:rPr>
                      <w:rFonts w:ascii="Times New Roman" w:hAnsi="Times New Roman" w:cs="Times New Roman"/>
                      <w:color w:val="000000"/>
                      <w:sz w:val="18"/>
                      <w:szCs w:val="18"/>
                    </w:rPr>
                    <w:t>厂界</w:t>
                  </w:r>
                  <w:r>
                    <w:rPr>
                      <w:rFonts w:hint="default" w:ascii="Times New Roman" w:hAnsi="Times New Roman" w:cs="Times New Roman"/>
                      <w:color w:val="000000"/>
                      <w:sz w:val="18"/>
                      <w:szCs w:val="18"/>
                      <w:lang w:val="en-US" w:eastAsia="zh-CN"/>
                    </w:rPr>
                    <w:t>四侧</w:t>
                  </w:r>
                </w:p>
              </w:tc>
            </w:tr>
            <w:tr w14:paraId="69C15FB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1" w:type="pct"/>
                  <w:vMerge w:val="restart"/>
                  <w:noWrap w:val="0"/>
                  <w:vAlign w:val="center"/>
                </w:tcPr>
                <w:p w14:paraId="690A3BA2">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固废</w:t>
                  </w:r>
                </w:p>
              </w:tc>
              <w:tc>
                <w:tcPr>
                  <w:tcW w:w="3797" w:type="pct"/>
                  <w:gridSpan w:val="5"/>
                  <w:noWrap w:val="0"/>
                  <w:vAlign w:val="center"/>
                </w:tcPr>
                <w:p w14:paraId="551235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cs="Times New Roman"/>
                      <w:color w:val="000000"/>
                      <w:sz w:val="18"/>
                      <w:szCs w:val="18"/>
                    </w:rPr>
                  </w:pPr>
                  <w:r>
                    <w:rPr>
                      <w:rFonts w:hint="eastAsia" w:ascii="Times New Roman" w:hAnsi="Times New Roman" w:eastAsia="宋体" w:cs="Times New Roman"/>
                      <w:color w:val="000000"/>
                      <w:sz w:val="18"/>
                      <w:szCs w:val="18"/>
                      <w:lang w:val="en-US" w:eastAsia="zh-CN"/>
                    </w:rPr>
                    <w:t>防扬散、防流失、防渗漏</w:t>
                  </w:r>
                </w:p>
              </w:tc>
              <w:tc>
                <w:tcPr>
                  <w:tcW w:w="840" w:type="pct"/>
                  <w:tcBorders>
                    <w:top w:val="single" w:color="000000" w:sz="4" w:space="0"/>
                    <w:bottom w:val="single" w:color="000000" w:sz="4" w:space="0"/>
                  </w:tcBorders>
                  <w:noWrap w:val="0"/>
                  <w:vAlign w:val="center"/>
                </w:tcPr>
                <w:p w14:paraId="66AEB071">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一般固废</w:t>
                  </w:r>
                </w:p>
              </w:tc>
            </w:tr>
            <w:tr w14:paraId="7613D9E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1" w:type="pct"/>
                  <w:vMerge w:val="continue"/>
                  <w:tcBorders>
                    <w:bottom w:val="single" w:color="000000" w:sz="12" w:space="0"/>
                  </w:tcBorders>
                  <w:noWrap w:val="0"/>
                  <w:vAlign w:val="center"/>
                </w:tcPr>
                <w:p w14:paraId="7400A5E4">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ascii="Times New Roman" w:hAnsi="Times New Roman" w:cs="Times New Roman"/>
                      <w:color w:val="000000"/>
                      <w:sz w:val="18"/>
                      <w:szCs w:val="18"/>
                    </w:rPr>
                  </w:pPr>
                </w:p>
              </w:tc>
              <w:tc>
                <w:tcPr>
                  <w:tcW w:w="3797" w:type="pct"/>
                  <w:gridSpan w:val="5"/>
                  <w:tcBorders>
                    <w:bottom w:val="single" w:color="000000" w:sz="12" w:space="0"/>
                  </w:tcBorders>
                  <w:noWrap w:val="0"/>
                  <w:vAlign w:val="center"/>
                </w:tcPr>
                <w:p w14:paraId="7CB520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cs="Times New Roman"/>
                      <w:color w:val="000000"/>
                      <w:sz w:val="18"/>
                      <w:szCs w:val="18"/>
                    </w:rPr>
                  </w:pPr>
                  <w:r>
                    <w:rPr>
                      <w:rFonts w:hint="default" w:ascii="Times New Roman" w:hAnsi="Times New Roman" w:cs="Times New Roman"/>
                      <w:color w:val="000000"/>
                      <w:sz w:val="18"/>
                      <w:szCs w:val="18"/>
                    </w:rPr>
                    <w:t>《危险废物贮存污染控制标准》(GB18597-20</w:t>
                  </w:r>
                  <w:r>
                    <w:rPr>
                      <w:rFonts w:hint="eastAsia" w:ascii="Times New Roman" w:hAnsi="Times New Roman" w:cs="Times New Roman"/>
                      <w:color w:val="000000"/>
                      <w:sz w:val="18"/>
                      <w:szCs w:val="18"/>
                      <w:lang w:val="en-US" w:eastAsia="zh-CN"/>
                    </w:rPr>
                    <w:t>23</w:t>
                  </w:r>
                  <w:r>
                    <w:rPr>
                      <w:rFonts w:hint="default" w:ascii="Times New Roman" w:hAnsi="Times New Roman" w:cs="Times New Roman"/>
                      <w:color w:val="000000"/>
                      <w:sz w:val="18"/>
                      <w:szCs w:val="18"/>
                    </w:rPr>
                    <w:t>)</w:t>
                  </w:r>
                </w:p>
              </w:tc>
              <w:tc>
                <w:tcPr>
                  <w:tcW w:w="840" w:type="pct"/>
                  <w:tcBorders>
                    <w:top w:val="single" w:color="000000" w:sz="4" w:space="0"/>
                    <w:bottom w:val="single" w:color="000000" w:sz="12" w:space="0"/>
                  </w:tcBorders>
                  <w:noWrap w:val="0"/>
                  <w:vAlign w:val="center"/>
                </w:tcPr>
                <w:p w14:paraId="6079537D">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危险固废</w:t>
                  </w:r>
                </w:p>
              </w:tc>
            </w:tr>
          </w:tbl>
          <w:p w14:paraId="409C5A6B">
            <w:pPr>
              <w:pStyle w:val="9"/>
              <w:spacing w:line="360" w:lineRule="auto"/>
              <w:jc w:val="both"/>
              <w:rPr>
                <w:rFonts w:hint="default" w:ascii="Times New Roman" w:hAnsi="Times New Roman" w:cs="Times New Roman"/>
                <w:spacing w:val="4"/>
              </w:rPr>
            </w:pPr>
          </w:p>
        </w:tc>
      </w:tr>
      <w:tr w14:paraId="15D41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03" w:type="pct"/>
            <w:noWrap w:val="0"/>
            <w:vAlign w:val="center"/>
          </w:tcPr>
          <w:p w14:paraId="469FA13D">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总</w:t>
            </w:r>
          </w:p>
          <w:p w14:paraId="6BB81E2F">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量</w:t>
            </w:r>
          </w:p>
          <w:p w14:paraId="73EB271A">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控</w:t>
            </w:r>
          </w:p>
          <w:p w14:paraId="5EA5E29D">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制</w:t>
            </w:r>
          </w:p>
          <w:p w14:paraId="0763EA96">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指</w:t>
            </w:r>
          </w:p>
          <w:p w14:paraId="340DC5AF">
            <w:pPr>
              <w:pStyle w:val="23"/>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cs="Times New Roman"/>
                <w:sz w:val="28"/>
              </w:rPr>
            </w:pPr>
            <w:r>
              <w:rPr>
                <w:rFonts w:hint="default" w:ascii="Times New Roman" w:hAnsi="Times New Roman" w:eastAsia="宋体" w:cs="Times New Roman"/>
                <w:sz w:val="28"/>
                <w:lang w:val="en-US" w:eastAsia="zh-CN"/>
              </w:rPr>
              <w:t>标</w:t>
            </w:r>
          </w:p>
        </w:tc>
        <w:tc>
          <w:tcPr>
            <w:tcW w:w="4596" w:type="pct"/>
            <w:noWrap w:val="0"/>
            <w:vAlign w:val="top"/>
          </w:tcPr>
          <w:p w14:paraId="75C125B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p>
          <w:p w14:paraId="1387934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bookmarkStart w:id="50" w:name="_GoBack"/>
            <w:bookmarkEnd w:id="50"/>
            <w:r>
              <w:rPr>
                <w:rFonts w:hint="default" w:ascii="Times New Roman" w:hAnsi="Times New Roman" w:eastAsia="宋体" w:cs="Times New Roman"/>
                <w:sz w:val="24"/>
                <w:szCs w:val="24"/>
                <w:lang w:val="zh-CN"/>
              </w:rPr>
              <w:t>本项目</w:t>
            </w:r>
            <w:r>
              <w:rPr>
                <w:rFonts w:hint="default" w:ascii="Times New Roman" w:hAnsi="Times New Roman" w:eastAsia="宋体" w:cs="Times New Roman"/>
                <w:sz w:val="24"/>
                <w:szCs w:val="24"/>
                <w:lang w:val="zh-CN" w:eastAsia="zh-CN"/>
              </w:rPr>
              <w:t>采用全流程湿法生产，</w:t>
            </w:r>
            <w:r>
              <w:rPr>
                <w:rFonts w:hint="default" w:ascii="Times New Roman" w:hAnsi="Times New Roman" w:eastAsia="宋体" w:cs="Times New Roman"/>
                <w:sz w:val="24"/>
                <w:szCs w:val="24"/>
                <w:lang w:val="zh-CN"/>
              </w:rPr>
              <w:t>生产废水全部回用，不外排</w:t>
            </w:r>
            <w:r>
              <w:rPr>
                <w:rFonts w:hint="default" w:ascii="Times New Roman" w:hAnsi="Times New Roman" w:eastAsia="宋体" w:cs="Times New Roman"/>
                <w:sz w:val="24"/>
                <w:szCs w:val="24"/>
                <w:lang w:val="zh-CN" w:eastAsia="zh-CN"/>
              </w:rPr>
              <w:t>；</w:t>
            </w:r>
            <w:r>
              <w:rPr>
                <w:rFonts w:hint="default" w:ascii="Times New Roman" w:hAnsi="Times New Roman" w:eastAsia="宋体" w:cs="Times New Roman"/>
                <w:sz w:val="24"/>
                <w:szCs w:val="24"/>
                <w:lang w:val="zh-CN"/>
              </w:rPr>
              <w:t>粉尘为</w:t>
            </w:r>
            <w:r>
              <w:rPr>
                <w:rFonts w:hint="default" w:ascii="Times New Roman" w:hAnsi="Times New Roman" w:eastAsia="宋体" w:cs="Times New Roman"/>
                <w:sz w:val="24"/>
                <w:szCs w:val="24"/>
                <w:lang w:val="zh-CN" w:eastAsia="zh-CN"/>
              </w:rPr>
              <w:t>无组织排放</w:t>
            </w:r>
            <w:r>
              <w:rPr>
                <w:rFonts w:hint="default" w:ascii="Times New Roman" w:hAnsi="Times New Roman" w:eastAsia="宋体" w:cs="Times New Roman"/>
                <w:sz w:val="24"/>
                <w:szCs w:val="24"/>
                <w:lang w:val="zh-CN"/>
              </w:rPr>
              <w:t>。</w:t>
            </w:r>
            <w:r>
              <w:rPr>
                <w:rFonts w:hint="default" w:ascii="Times New Roman" w:hAnsi="Times New Roman" w:eastAsia="宋体" w:cs="Times New Roman"/>
                <w:sz w:val="24"/>
                <w:szCs w:val="24"/>
                <w:lang w:val="zh-CN" w:eastAsia="zh-CN"/>
              </w:rPr>
              <w:t>按区域总量控制管理要求，</w:t>
            </w:r>
            <w:r>
              <w:rPr>
                <w:rFonts w:hint="default" w:ascii="Times New Roman" w:hAnsi="Times New Roman" w:eastAsia="宋体" w:cs="Times New Roman"/>
                <w:sz w:val="24"/>
                <w:szCs w:val="24"/>
                <w:lang w:val="zh-CN"/>
              </w:rPr>
              <w:t>项目</w:t>
            </w:r>
            <w:r>
              <w:rPr>
                <w:rFonts w:hint="default" w:ascii="Times New Roman" w:hAnsi="Times New Roman" w:eastAsia="宋体" w:cs="Times New Roman"/>
                <w:sz w:val="24"/>
                <w:szCs w:val="24"/>
                <w:lang w:val="zh-CN" w:eastAsia="zh-CN"/>
              </w:rPr>
              <w:t>不需设置</w:t>
            </w:r>
            <w:r>
              <w:rPr>
                <w:rFonts w:hint="default" w:ascii="Times New Roman" w:hAnsi="Times New Roman" w:eastAsia="宋体" w:cs="Times New Roman"/>
                <w:sz w:val="24"/>
                <w:szCs w:val="24"/>
                <w:lang w:val="zh-CN"/>
              </w:rPr>
              <w:t>总量控制指标。</w:t>
            </w:r>
          </w:p>
          <w:p w14:paraId="73D366F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项目</w:t>
            </w:r>
            <w:r>
              <w:rPr>
                <w:rFonts w:hint="eastAsia" w:ascii="Times New Roman" w:hAnsi="Times New Roman" w:eastAsia="宋体" w:cs="Times New Roman"/>
                <w:sz w:val="24"/>
                <w:szCs w:val="24"/>
                <w:lang w:val="en-US" w:eastAsia="zh-CN"/>
              </w:rPr>
              <w:t>运营期</w:t>
            </w:r>
            <w:r>
              <w:rPr>
                <w:rFonts w:hint="eastAsia"/>
                <w:color w:val="auto"/>
                <w:sz w:val="24"/>
                <w:szCs w:val="24"/>
                <w:lang w:val="en-US" w:eastAsia="zh-CN"/>
              </w:rPr>
              <w:t>生活废水经一体化污水处理设备处理后，进入沉淀池，回用于矿区生产，不外排</w:t>
            </w:r>
            <w:r>
              <w:rPr>
                <w:rFonts w:hint="default" w:ascii="Times New Roman" w:hAnsi="Times New Roman" w:eastAsia="宋体" w:cs="Times New Roman"/>
                <w:sz w:val="24"/>
                <w:szCs w:val="24"/>
                <w:lang w:val="zh-CN" w:eastAsia="zh-CN"/>
              </w:rPr>
              <w:t>；</w:t>
            </w:r>
            <w:r>
              <w:rPr>
                <w:rFonts w:hint="eastAsia"/>
                <w:color w:val="auto"/>
                <w:sz w:val="24"/>
                <w:szCs w:val="24"/>
                <w:lang w:val="en-US" w:eastAsia="zh-CN"/>
              </w:rPr>
              <w:t>生产废水废水全部进入废水处理站处理后回用，不得外排</w:t>
            </w:r>
            <w:r>
              <w:rPr>
                <w:rFonts w:hint="default" w:ascii="Times New Roman" w:hAnsi="Times New Roman" w:eastAsia="宋体" w:cs="Times New Roman"/>
                <w:sz w:val="24"/>
                <w:szCs w:val="24"/>
                <w:lang w:val="zh-CN" w:eastAsia="zh-CN"/>
              </w:rPr>
              <w:t>。</w:t>
            </w:r>
            <w:r>
              <w:rPr>
                <w:rFonts w:hint="eastAsia" w:ascii="Times New Roman" w:hAnsi="Times New Roman" w:eastAsia="宋体" w:cs="Times New Roman"/>
                <w:sz w:val="24"/>
                <w:szCs w:val="24"/>
                <w:lang w:val="en-US" w:eastAsia="zh-CN"/>
              </w:rPr>
              <w:t>运营期废气主要是无组织排放粉尘</w:t>
            </w:r>
            <w:r>
              <w:rPr>
                <w:rFonts w:hint="default" w:ascii="Times New Roman" w:hAnsi="Times New Roman" w:eastAsia="宋体" w:cs="Times New Roman"/>
                <w:sz w:val="24"/>
                <w:szCs w:val="24"/>
                <w:lang w:val="zh-CN"/>
              </w:rPr>
              <w:t>。因此</w:t>
            </w:r>
            <w:r>
              <w:rPr>
                <w:rFonts w:hint="eastAsia" w:ascii="Times New Roman" w:hAnsi="Times New Roman" w:eastAsia="宋体" w:cs="Times New Roman"/>
                <w:sz w:val="24"/>
                <w:szCs w:val="24"/>
                <w:lang w:val="en-US" w:eastAsia="zh-CN"/>
              </w:rPr>
              <w:t>无需</w:t>
            </w:r>
            <w:r>
              <w:rPr>
                <w:rFonts w:hint="eastAsia" w:cs="Times New Roman"/>
                <w:sz w:val="24"/>
                <w:szCs w:val="24"/>
                <w:lang w:val="en-US" w:eastAsia="zh-CN"/>
              </w:rPr>
              <w:t>设置</w:t>
            </w:r>
            <w:r>
              <w:rPr>
                <w:rFonts w:hint="eastAsia" w:ascii="Times New Roman" w:hAnsi="Times New Roman" w:eastAsia="宋体" w:cs="Times New Roman"/>
                <w:sz w:val="24"/>
                <w:szCs w:val="24"/>
                <w:lang w:val="en-US" w:eastAsia="zh-CN"/>
              </w:rPr>
              <w:t>污染物排放</w:t>
            </w:r>
            <w:r>
              <w:rPr>
                <w:rFonts w:hint="eastAsia" w:cs="Times New Roman"/>
                <w:sz w:val="24"/>
                <w:szCs w:val="24"/>
                <w:lang w:val="en-US" w:eastAsia="zh-CN"/>
              </w:rPr>
              <w:t>总</w:t>
            </w:r>
            <w:r>
              <w:rPr>
                <w:rFonts w:hint="eastAsia" w:ascii="Times New Roman" w:hAnsi="Times New Roman" w:eastAsia="宋体" w:cs="Times New Roman"/>
                <w:sz w:val="24"/>
                <w:szCs w:val="24"/>
                <w:lang w:val="en-US" w:eastAsia="zh-CN"/>
              </w:rPr>
              <w:t>量</w:t>
            </w:r>
            <w:r>
              <w:rPr>
                <w:rFonts w:hint="eastAsia" w:cs="Times New Roman"/>
                <w:sz w:val="24"/>
                <w:szCs w:val="24"/>
                <w:lang w:val="en-US" w:eastAsia="zh-CN"/>
              </w:rPr>
              <w:t>指标</w:t>
            </w:r>
            <w:r>
              <w:rPr>
                <w:rFonts w:hint="default" w:ascii="Times New Roman" w:hAnsi="Times New Roman" w:eastAsia="宋体" w:cs="Times New Roman"/>
                <w:sz w:val="24"/>
                <w:szCs w:val="24"/>
                <w:lang w:val="zh-CN"/>
              </w:rPr>
              <w:t>。</w:t>
            </w:r>
          </w:p>
          <w:p w14:paraId="0FE0787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p>
          <w:p w14:paraId="7B27F3E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p>
          <w:p w14:paraId="1C7171C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p>
          <w:p w14:paraId="0BDED40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p>
          <w:p w14:paraId="3F3BA3E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p>
          <w:p w14:paraId="579A9C7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p>
          <w:p w14:paraId="246B976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p>
          <w:p w14:paraId="65A3193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p>
          <w:p w14:paraId="0EB062C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p>
          <w:p w14:paraId="56B4866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p>
          <w:p w14:paraId="7E0698C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p>
          <w:p w14:paraId="79E8719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z w:val="24"/>
                <w:szCs w:val="24"/>
                <w:lang w:val="zh-CN"/>
              </w:rPr>
            </w:pPr>
          </w:p>
        </w:tc>
      </w:tr>
    </w:tbl>
    <w:p w14:paraId="48C96A9E">
      <w:pPr>
        <w:rPr>
          <w:rFonts w:hint="default" w:ascii="Times New Roman" w:hAnsi="Times New Roman" w:cs="Times New Roman"/>
          <w:sz w:val="21"/>
        </w:rPr>
        <w:sectPr>
          <w:pgSz w:w="11911" w:h="16838"/>
          <w:pgMar w:top="1440" w:right="1361" w:bottom="1440" w:left="1361" w:header="964" w:footer="918" w:gutter="0"/>
          <w:pgBorders>
            <w:top w:val="none" w:sz="0" w:space="0"/>
            <w:left w:val="none" w:sz="0" w:space="0"/>
            <w:bottom w:val="none" w:sz="0" w:space="0"/>
            <w:right w:val="none" w:sz="0" w:space="0"/>
          </w:pgBorders>
          <w:pgNumType w:fmt="decimal"/>
          <w:cols w:space="720" w:num="1"/>
          <w:rtlGutter w:val="0"/>
          <w:docGrid w:linePitch="0" w:charSpace="0"/>
        </w:sectPr>
      </w:pPr>
    </w:p>
    <w:p w14:paraId="3623ED23">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kern w:val="0"/>
          <w:sz w:val="32"/>
          <w:szCs w:val="56"/>
          <w:lang w:val="en-US" w:bidi="ar-SA"/>
        </w:rPr>
      </w:pPr>
      <w:bookmarkStart w:id="10" w:name="表4_工程概况"/>
      <w:bookmarkEnd w:id="10"/>
      <w:bookmarkStart w:id="11" w:name="_Toc20130"/>
      <w:bookmarkStart w:id="12" w:name="_Toc28932"/>
      <w:r>
        <w:rPr>
          <w:rFonts w:hint="default" w:ascii="Times New Roman" w:hAnsi="Times New Roman" w:eastAsia="宋体" w:cs="Times New Roman"/>
          <w:b/>
          <w:bCs/>
          <w:kern w:val="0"/>
          <w:sz w:val="32"/>
          <w:szCs w:val="56"/>
          <w:lang w:val="en-US" w:bidi="ar-SA"/>
        </w:rPr>
        <w:t>表4</w:t>
      </w:r>
      <w:r>
        <w:rPr>
          <w:rFonts w:hint="default" w:ascii="Times New Roman" w:hAnsi="Times New Roman" w:eastAsia="宋体" w:cs="Times New Roman"/>
          <w:b/>
          <w:bCs/>
          <w:kern w:val="0"/>
          <w:sz w:val="32"/>
          <w:szCs w:val="56"/>
          <w:lang w:val="en-US" w:eastAsia="zh-CN" w:bidi="ar-SA"/>
        </w:rPr>
        <w:t xml:space="preserve">  </w:t>
      </w:r>
      <w:r>
        <w:rPr>
          <w:rFonts w:hint="default" w:ascii="Times New Roman" w:hAnsi="Times New Roman" w:eastAsia="宋体" w:cs="Times New Roman"/>
          <w:b/>
          <w:bCs/>
          <w:kern w:val="0"/>
          <w:sz w:val="32"/>
          <w:szCs w:val="56"/>
          <w:lang w:val="en-US" w:bidi="ar-SA"/>
        </w:rPr>
        <w:t>工程概况</w:t>
      </w:r>
      <w:bookmarkEnd w:id="11"/>
      <w:bookmarkEnd w:id="12"/>
    </w:p>
    <w:tbl>
      <w:tblPr>
        <w:tblStyle w:val="17"/>
        <w:tblW w:w="4999"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713"/>
        <w:gridCol w:w="8496"/>
      </w:tblGrid>
      <w:tr w14:paraId="309FE2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95" w:type="pct"/>
            <w:tcBorders>
              <w:tl2br w:val="nil"/>
              <w:tr2bl w:val="nil"/>
            </w:tcBorders>
            <w:noWrap w:val="0"/>
            <w:vAlign w:val="center"/>
          </w:tcPr>
          <w:p w14:paraId="13AAE4DE">
            <w:pPr>
              <w:pStyle w:val="23"/>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b w:val="0"/>
                <w:bCs/>
                <w:sz w:val="24"/>
              </w:rPr>
            </w:pPr>
            <w:r>
              <w:rPr>
                <w:rFonts w:hint="default" w:ascii="Times New Roman" w:hAnsi="Times New Roman" w:cs="Times New Roman"/>
                <w:b w:val="0"/>
                <w:bCs/>
                <w:sz w:val="24"/>
              </w:rPr>
              <w:t>项目</w:t>
            </w:r>
          </w:p>
          <w:p w14:paraId="493812E9">
            <w:pPr>
              <w:pStyle w:val="23"/>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b w:val="0"/>
                <w:bCs/>
                <w:sz w:val="24"/>
              </w:rPr>
            </w:pPr>
            <w:r>
              <w:rPr>
                <w:rFonts w:hint="default" w:ascii="Times New Roman" w:hAnsi="Times New Roman" w:cs="Times New Roman"/>
                <w:b w:val="0"/>
                <w:bCs/>
                <w:sz w:val="24"/>
              </w:rPr>
              <w:t>名称</w:t>
            </w:r>
          </w:p>
        </w:tc>
        <w:tc>
          <w:tcPr>
            <w:tcW w:w="4604" w:type="pct"/>
            <w:tcBorders>
              <w:tl2br w:val="nil"/>
              <w:tr2bl w:val="nil"/>
            </w:tcBorders>
            <w:noWrap w:val="0"/>
            <w:vAlign w:val="center"/>
          </w:tcPr>
          <w:p w14:paraId="255C09D8">
            <w:pPr>
              <w:pStyle w:val="2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4"/>
                <w:lang w:eastAsia="zh-CN"/>
              </w:rPr>
            </w:pPr>
            <w:r>
              <w:rPr>
                <w:rFonts w:hint="eastAsia" w:cs="Times New Roman"/>
                <w:sz w:val="24"/>
                <w:lang w:eastAsia="zh-CN"/>
              </w:rPr>
              <w:t>湖北省嘉丰泰华矿业有限公司白鸭山矿区C8区块饰面用花岗岩矿开采项目</w:t>
            </w:r>
          </w:p>
        </w:tc>
      </w:tr>
      <w:tr w14:paraId="02E220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95" w:type="pct"/>
            <w:tcBorders>
              <w:tl2br w:val="nil"/>
              <w:tr2bl w:val="nil"/>
            </w:tcBorders>
            <w:noWrap w:val="0"/>
            <w:vAlign w:val="center"/>
          </w:tcPr>
          <w:p w14:paraId="3BE1A277">
            <w:pPr>
              <w:pStyle w:val="23"/>
              <w:spacing w:line="240" w:lineRule="auto"/>
              <w:jc w:val="center"/>
              <w:rPr>
                <w:rFonts w:hint="default" w:ascii="Times New Roman" w:hAnsi="Times New Roman" w:cs="Times New Roman"/>
                <w:b w:val="0"/>
                <w:bCs/>
                <w:sz w:val="24"/>
              </w:rPr>
            </w:pPr>
            <w:r>
              <w:rPr>
                <w:rFonts w:hint="default" w:ascii="Times New Roman" w:hAnsi="Times New Roman" w:cs="Times New Roman"/>
                <w:b w:val="0"/>
                <w:bCs/>
                <w:sz w:val="24"/>
              </w:rPr>
              <w:t>项目地理位置</w:t>
            </w:r>
          </w:p>
        </w:tc>
        <w:tc>
          <w:tcPr>
            <w:tcW w:w="4604" w:type="pct"/>
            <w:tcBorders>
              <w:tl2br w:val="nil"/>
              <w:tr2bl w:val="nil"/>
            </w:tcBorders>
            <w:noWrap w:val="0"/>
            <w:vAlign w:val="top"/>
          </w:tcPr>
          <w:p w14:paraId="3450A957">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白鸭山矿区位于湖北省麻城市南东约144度方位13km处的南湖街道办事处、白果镇和龟山镇交接处的白鸭山一带。C8区块位于白鸭山矿区北部呈不规则多边形，东西宽338-530米，南北长约910米，面积为1.5033平方公里，</w:t>
            </w:r>
            <w:r>
              <w:rPr>
                <w:rFonts w:hint="eastAsia" w:ascii="Times New Roman" w:hAnsi="Times New Roman" w:eastAsia="宋体" w:cs="Times New Roman"/>
                <w:color w:val="000000"/>
                <w:kern w:val="0"/>
                <w:sz w:val="24"/>
                <w:szCs w:val="24"/>
                <w:highlight w:val="none"/>
                <w:lang w:val="en-US" w:eastAsia="zh-CN" w:bidi="ar"/>
              </w:rPr>
              <w:t>本项目C8区块占地范围涉及</w:t>
            </w:r>
            <w:r>
              <w:rPr>
                <w:rFonts w:hint="default" w:ascii="Times New Roman" w:hAnsi="Times New Roman" w:eastAsia="宋体" w:cs="Times New Roman"/>
                <w:color w:val="000000"/>
                <w:kern w:val="0"/>
                <w:sz w:val="24"/>
                <w:szCs w:val="24"/>
                <w:highlight w:val="none"/>
                <w:lang w:val="en-US" w:eastAsia="zh-CN" w:bidi="ar"/>
              </w:rPr>
              <w:t>湖北省麻城市白果镇</w:t>
            </w:r>
            <w:r>
              <w:rPr>
                <w:rFonts w:hint="eastAsia" w:ascii="Times New Roman" w:hAnsi="Times New Roman" w:eastAsia="宋体" w:cs="Times New Roman"/>
                <w:color w:val="000000"/>
                <w:kern w:val="0"/>
                <w:sz w:val="24"/>
                <w:szCs w:val="24"/>
                <w:highlight w:val="none"/>
                <w:lang w:val="en-US" w:eastAsia="zh-CN" w:bidi="ar"/>
              </w:rPr>
              <w:t>和龟山镇</w:t>
            </w:r>
            <w:r>
              <w:rPr>
                <w:rFonts w:hint="default" w:ascii="Times New Roman" w:hAnsi="Times New Roman" w:eastAsia="宋体" w:cs="Times New Roman"/>
                <w:color w:val="000000"/>
                <w:kern w:val="0"/>
                <w:sz w:val="24"/>
                <w:szCs w:val="24"/>
                <w:highlight w:val="none"/>
                <w:lang w:val="en-US" w:eastAsia="zh-CN" w:bidi="ar"/>
              </w:rPr>
              <w:t>。大地坐标（CGCS2000）为东经115°04′46″～115°06′19″、北纬31°05′11″～31°06′07″。</w:t>
            </w:r>
          </w:p>
          <w:p w14:paraId="6E494D32">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color w:val="000000"/>
                <w:lang w:val="en-US" w:eastAsia="zh-CN"/>
              </w:rPr>
            </w:pPr>
            <w:r>
              <w:rPr>
                <w:rFonts w:hint="eastAsia" w:ascii="Times New Roman" w:hAnsi="Times New Roman" w:eastAsia="宋体" w:cs="Times New Roman"/>
                <w:color w:val="000000"/>
                <w:kern w:val="0"/>
                <w:sz w:val="24"/>
                <w:szCs w:val="24"/>
                <w:highlight w:val="none"/>
                <w:lang w:val="en-US" w:eastAsia="zh-CN" w:bidi="ar"/>
              </w:rPr>
              <w:t>麻城市白鸭山采矿区周边水库有大坳水库、永丰水库、海螺湖水库、红卫水库，河流有林家河、桃林河及麻溪河。本项目主要涉及的水域为麻溪河。</w:t>
            </w:r>
          </w:p>
          <w:p w14:paraId="09DD2F4B">
            <w:pPr>
              <w:keepNext w:val="0"/>
              <w:keepLines w:val="0"/>
              <w:pageBreakBefore w:val="0"/>
              <w:widowControl w:val="0"/>
              <w:kinsoku/>
              <w:wordWrap/>
              <w:overflowPunct/>
              <w:topLinePunct w:val="0"/>
              <w:autoSpaceDE w:val="0"/>
              <w:autoSpaceDN w:val="0"/>
              <w:bidi w:val="0"/>
              <w:adjustRightInd/>
              <w:snapToGrid/>
              <w:spacing w:after="0" w:afterLines="50" w:line="240" w:lineRule="auto"/>
              <w:jc w:val="center"/>
              <w:textAlignment w:val="auto"/>
              <w:rPr>
                <w:rFonts w:hint="eastAsia" w:eastAsia="宋体"/>
                <w:lang w:eastAsia="zh-CN"/>
              </w:rPr>
            </w:pPr>
            <w:r>
              <w:rPr>
                <w:color w:val="000000"/>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1244600</wp:posOffset>
                      </wp:positionH>
                      <wp:positionV relativeFrom="paragraph">
                        <wp:posOffset>1350010</wp:posOffset>
                      </wp:positionV>
                      <wp:extent cx="1000125" cy="304800"/>
                      <wp:effectExtent l="5080" t="5080" r="442595" b="330200"/>
                      <wp:wrapNone/>
                      <wp:docPr id="3" name="矩形标注 3"/>
                      <wp:cNvGraphicFramePr/>
                      <a:graphic xmlns:a="http://schemas.openxmlformats.org/drawingml/2006/main">
                        <a:graphicData uri="http://schemas.microsoft.com/office/word/2010/wordprocessingShape">
                          <wps:wsp>
                            <wps:cNvSpPr/>
                            <wps:spPr>
                              <a:xfrm>
                                <a:off x="0" y="0"/>
                                <a:ext cx="1000125" cy="304800"/>
                              </a:xfrm>
                              <a:prstGeom prst="wedgeRectCallout">
                                <a:avLst>
                                  <a:gd name="adj1" fmla="val 90509"/>
                                  <a:gd name="adj2" fmla="val 148125"/>
                                </a:avLst>
                              </a:prstGeom>
                              <a:solidFill>
                                <a:srgbClr val="FFFFFF"/>
                              </a:solidFill>
                              <a:ln w="9525" cap="flat" cmpd="sng">
                                <a:solidFill>
                                  <a:srgbClr val="000000"/>
                                </a:solidFill>
                                <a:prstDash val="solid"/>
                                <a:miter/>
                                <a:headEnd type="none" w="med" len="med"/>
                                <a:tailEnd type="none" w="med" len="med"/>
                              </a:ln>
                            </wps:spPr>
                            <wps:txbx>
                              <w:txbxContent>
                                <w:p w14:paraId="3C625E39">
                                  <w:pPr>
                                    <w:jc w:val="center"/>
                                    <w:rPr>
                                      <w:rFonts w:hint="default" w:eastAsia="宋体"/>
                                      <w:lang w:val="en-US" w:eastAsia="zh-CN"/>
                                    </w:rPr>
                                  </w:pPr>
                                  <w:r>
                                    <w:rPr>
                                      <w:rFonts w:hint="eastAsia"/>
                                      <w:lang w:val="en-US" w:eastAsia="zh-CN"/>
                                    </w:rPr>
                                    <w:t>项目所在地</w:t>
                                  </w:r>
                                </w:p>
                              </w:txbxContent>
                            </wps:txbx>
                            <wps:bodyPr upright="1"/>
                          </wps:wsp>
                        </a:graphicData>
                      </a:graphic>
                    </wp:anchor>
                  </w:drawing>
                </mc:Choice>
                <mc:Fallback>
                  <w:pict>
                    <v:shape id="_x0000_s1026" o:spid="_x0000_s1026" o:spt="61" type="#_x0000_t61" style="position:absolute;left:0pt;margin-left:98pt;margin-top:106.3pt;height:24pt;width:78.75pt;z-index:251662336;mso-width-relative:page;mso-height-relative:page;" fillcolor="#FFFFFF" filled="t" stroked="t" coordsize="21600,21600" o:gfxdata="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AVYEL2gAAAAsBAAAPAAAAAAAAAAEAIAAAACIAAABkcnMvZG93&#10;bnJldi54bWxQSwECFAAUAAAACACHTuJAoabZTzcCAACNBAAADgAAAAAAAAABACAAAAApAQAAZHJz&#10;L2Uyb0RvYy54bWxQSwUGAAAAAAYABgBZAQAA0gUAAAAA&#10;" adj="30350,42795">
                      <v:fill on="t" focussize="0,0"/>
                      <v:stroke color="#000000" joinstyle="miter"/>
                      <v:imagedata o:title=""/>
                      <o:lock v:ext="edit" aspectratio="f"/>
                      <v:textbox>
                        <w:txbxContent>
                          <w:p w14:paraId="3C625E39">
                            <w:pPr>
                              <w:jc w:val="center"/>
                              <w:rPr>
                                <w:rFonts w:hint="default" w:eastAsia="宋体"/>
                                <w:lang w:val="en-US" w:eastAsia="zh-CN"/>
                              </w:rPr>
                            </w:pPr>
                            <w:r>
                              <w:rPr>
                                <w:rFonts w:hint="eastAsia"/>
                                <w:lang w:val="en-US" w:eastAsia="zh-CN"/>
                              </w:rPr>
                              <w:t>项目所在地</w:t>
                            </w:r>
                          </w:p>
                        </w:txbxContent>
                      </v:textbox>
                    </v:shape>
                  </w:pict>
                </mc:Fallback>
              </mc:AlternateContent>
            </w:r>
            <w:r>
              <w:rPr>
                <w:color w:val="000000"/>
                <w:sz w:val="24"/>
                <w:szCs w:val="24"/>
                <w:highlight w:val="none"/>
              </w:rPr>
              <w:drawing>
                <wp:inline distT="0" distB="0" distL="114300" distR="114300">
                  <wp:extent cx="5490845" cy="5542915"/>
                  <wp:effectExtent l="0" t="0" r="10795" b="444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7"/>
                          <a:stretch>
                            <a:fillRect/>
                          </a:stretch>
                        </pic:blipFill>
                        <pic:spPr>
                          <a:xfrm>
                            <a:off x="0" y="0"/>
                            <a:ext cx="5490845" cy="5542915"/>
                          </a:xfrm>
                          <a:prstGeom prst="rect">
                            <a:avLst/>
                          </a:prstGeom>
                          <a:noFill/>
                          <a:ln>
                            <a:noFill/>
                          </a:ln>
                        </pic:spPr>
                      </pic:pic>
                    </a:graphicData>
                  </a:graphic>
                </wp:inline>
              </w:drawing>
            </w:r>
          </w:p>
          <w:p w14:paraId="6CE9F858">
            <w:pPr>
              <w:keepNext w:val="0"/>
              <w:keepLines w:val="0"/>
              <w:pageBreakBefore w:val="0"/>
              <w:widowControl w:val="0"/>
              <w:kinsoku/>
              <w:wordWrap/>
              <w:overflowPunct/>
              <w:topLinePunct w:val="0"/>
              <w:autoSpaceDE w:val="0"/>
              <w:autoSpaceDN w:val="0"/>
              <w:bidi w:val="0"/>
              <w:adjustRightInd/>
              <w:snapToGrid/>
              <w:spacing w:after="0" w:afterLines="50" w:line="240" w:lineRule="auto"/>
              <w:jc w:val="center"/>
              <w:textAlignment w:val="auto"/>
              <w:rPr>
                <w:rFonts w:hint="default" w:ascii="Times New Roman" w:hAnsi="Times New Roman" w:cs="Times New Roman"/>
                <w:spacing w:val="-8"/>
                <w:sz w:val="24"/>
              </w:rPr>
            </w:pPr>
            <w:r>
              <w:rPr>
                <w:rFonts w:hint="default" w:ascii="Times New Roman" w:hAnsi="Times New Roman" w:cs="Times New Roman"/>
                <w:b/>
                <w:bCs/>
                <w:sz w:val="24"/>
                <w:vertAlign w:val="baseline"/>
                <w:lang w:val="en-US" w:eastAsia="zh-CN"/>
              </w:rPr>
              <w:t>图4-1  项目地理位置图</w:t>
            </w:r>
          </w:p>
        </w:tc>
      </w:tr>
      <w:tr w14:paraId="7C896A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53" w:hRule="atLeast"/>
          <w:jc w:val="center"/>
        </w:trPr>
        <w:tc>
          <w:tcPr>
            <w:tcW w:w="5000" w:type="pct"/>
            <w:gridSpan w:val="2"/>
            <w:tcBorders>
              <w:tl2br w:val="nil"/>
              <w:tr2bl w:val="nil"/>
            </w:tcBorders>
            <w:noWrap w:val="0"/>
            <w:vAlign w:val="center"/>
          </w:tcPr>
          <w:p w14:paraId="04AB5871">
            <w:pPr>
              <w:pStyle w:val="23"/>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b/>
                <w:sz w:val="28"/>
              </w:rPr>
            </w:pPr>
            <w:r>
              <w:rPr>
                <w:rFonts w:hint="default" w:ascii="Times New Roman" w:hAnsi="Times New Roman" w:cs="Times New Roman"/>
                <w:b/>
                <w:sz w:val="28"/>
              </w:rPr>
              <w:t>主要工程内容及规模</w:t>
            </w:r>
          </w:p>
          <w:p w14:paraId="51136B25">
            <w:pPr>
              <w:pStyle w:val="23"/>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sz w:val="24"/>
              </w:rPr>
            </w:pPr>
            <w:r>
              <w:rPr>
                <w:rFonts w:hint="default" w:ascii="Times New Roman" w:hAnsi="Times New Roman" w:cs="Times New Roman"/>
                <w:b/>
                <w:sz w:val="24"/>
              </w:rPr>
              <w:t>1、工程建设性质</w:t>
            </w:r>
            <w:r>
              <w:rPr>
                <w:rFonts w:hint="default" w:ascii="Times New Roman" w:hAnsi="Times New Roman" w:cs="Times New Roman"/>
                <w:b/>
                <w:sz w:val="24"/>
                <w:lang w:eastAsia="zh-CN"/>
              </w:rPr>
              <w:t>、</w:t>
            </w:r>
            <w:r>
              <w:rPr>
                <w:rFonts w:hint="default" w:ascii="Times New Roman" w:hAnsi="Times New Roman" w:cs="Times New Roman"/>
                <w:b/>
                <w:sz w:val="24"/>
              </w:rPr>
              <w:t>方案</w:t>
            </w:r>
            <w:r>
              <w:rPr>
                <w:rFonts w:hint="default" w:ascii="Times New Roman" w:hAnsi="Times New Roman" w:cs="Times New Roman"/>
                <w:b/>
                <w:sz w:val="24"/>
                <w:lang w:val="en-US" w:eastAsia="zh-CN"/>
              </w:rPr>
              <w:t>和</w:t>
            </w:r>
            <w:r>
              <w:rPr>
                <w:rFonts w:hint="default" w:ascii="Times New Roman" w:hAnsi="Times New Roman" w:cs="Times New Roman"/>
                <w:b/>
                <w:sz w:val="24"/>
              </w:rPr>
              <w:t>规模</w:t>
            </w:r>
          </w:p>
          <w:p w14:paraId="28773A76">
            <w:pPr>
              <w:pStyle w:val="23"/>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rPr>
            </w:pPr>
            <w:r>
              <w:rPr>
                <w:rFonts w:hint="default" w:ascii="Times New Roman" w:hAnsi="Times New Roman" w:cs="Times New Roman"/>
                <w:sz w:val="24"/>
              </w:rPr>
              <w:t>建设性质：新建</w:t>
            </w:r>
          </w:p>
          <w:p w14:paraId="217F3D27">
            <w:pPr>
              <w:pStyle w:val="23"/>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Cs/>
                <w:color w:val="000000"/>
                <w:sz w:val="24"/>
              </w:rPr>
              <w:t>建设</w:t>
            </w:r>
            <w:r>
              <w:rPr>
                <w:rFonts w:hint="default" w:ascii="Times New Roman" w:hAnsi="Times New Roman" w:cs="Times New Roman"/>
                <w:bCs/>
                <w:color w:val="000000"/>
                <w:sz w:val="24"/>
                <w:lang w:val="en-US" w:eastAsia="zh-CN"/>
              </w:rPr>
              <w:t>方案</w:t>
            </w:r>
            <w:r>
              <w:rPr>
                <w:rFonts w:hint="default" w:ascii="Times New Roman" w:hAnsi="Times New Roman" w:cs="Times New Roman"/>
                <w:bCs/>
                <w:color w:val="000000"/>
                <w:sz w:val="24"/>
              </w:rPr>
              <w:t>及</w:t>
            </w:r>
            <w:r>
              <w:rPr>
                <w:rFonts w:hint="default" w:ascii="Times New Roman" w:hAnsi="Times New Roman" w:cs="Times New Roman"/>
                <w:bCs/>
                <w:color w:val="000000"/>
                <w:sz w:val="24"/>
                <w:lang w:val="en-US" w:eastAsia="zh-CN"/>
              </w:rPr>
              <w:t>规模</w:t>
            </w:r>
            <w:r>
              <w:rPr>
                <w:rFonts w:hint="default" w:ascii="Times New Roman" w:hAnsi="Times New Roman" w:cs="Times New Roman"/>
                <w:bCs/>
                <w:color w:val="000000"/>
                <w:sz w:val="24"/>
              </w:rPr>
              <w:t>：</w:t>
            </w:r>
            <w:r>
              <w:rPr>
                <w:rFonts w:hint="default" w:ascii="Times New Roman" w:hAnsi="Times New Roman" w:cs="Times New Roman"/>
                <w:color w:val="000000"/>
                <w:sz w:val="24"/>
                <w:lang w:val="en-US" w:eastAsia="zh-CN"/>
              </w:rPr>
              <w:t>矿区采矿权出让</w:t>
            </w:r>
            <w:r>
              <w:rPr>
                <w:rFonts w:hint="default" w:cs="Times New Roman"/>
                <w:color w:val="000000"/>
                <w:kern w:val="0"/>
                <w:sz w:val="24"/>
                <w:szCs w:val="24"/>
                <w:lang w:val="en-US" w:eastAsia="zh-CN" w:bidi="ar"/>
              </w:rPr>
              <w:t>面积1.5033</w:t>
            </w:r>
            <w:r>
              <w:rPr>
                <w:rFonts w:hint="default" w:ascii="Times New Roman" w:hAnsi="Times New Roman" w:cs="Times New Roman"/>
                <w:color w:val="000000"/>
                <w:sz w:val="24"/>
                <w:lang w:val="en-US" w:eastAsia="zh-CN"/>
              </w:rPr>
              <w:t>km</w:t>
            </w:r>
            <w:r>
              <w:rPr>
                <w:rFonts w:hint="default" w:ascii="Times New Roman" w:hAnsi="Times New Roman" w:cs="Times New Roman"/>
                <w:color w:val="000000"/>
                <w:sz w:val="24"/>
                <w:vertAlign w:val="superscript"/>
                <w:lang w:val="en-US" w:eastAsia="zh-CN"/>
              </w:rPr>
              <w:t>2</w:t>
            </w:r>
            <w:r>
              <w:rPr>
                <w:rFonts w:hint="default" w:ascii="Times New Roman" w:hAnsi="Times New Roman" w:cs="Times New Roman"/>
                <w:color w:val="000000"/>
                <w:sz w:val="24"/>
                <w:lang w:val="en-US" w:eastAsia="zh-CN"/>
              </w:rPr>
              <w:t>，产品方案为</w:t>
            </w:r>
            <w:r>
              <w:rPr>
                <w:rFonts w:hint="default" w:ascii="Times New Roman" w:hAnsi="Times New Roman" w:eastAsia="宋体" w:cs="Times New Roman"/>
                <w:color w:val="000000"/>
                <w:kern w:val="0"/>
                <w:sz w:val="24"/>
                <w:szCs w:val="24"/>
                <w:highlight w:val="none"/>
                <w:lang w:val="en-US" w:eastAsia="zh-CN" w:bidi="ar"/>
              </w:rPr>
              <w:t>饰面用花岗岩</w:t>
            </w:r>
            <w:r>
              <w:rPr>
                <w:rFonts w:hint="default" w:ascii="Times New Roman" w:hAnsi="Times New Roman" w:cs="Times New Roman"/>
                <w:color w:val="000000"/>
                <w:sz w:val="24"/>
                <w:lang w:val="en-US" w:eastAsia="zh-CN"/>
              </w:rPr>
              <w:t>，</w:t>
            </w:r>
            <w:r>
              <w:rPr>
                <w:rFonts w:hint="eastAsia" w:cs="Times New Roman"/>
                <w:color w:val="000000"/>
                <w:sz w:val="24"/>
                <w:lang w:val="en-US" w:eastAsia="zh-CN"/>
              </w:rPr>
              <w:t>开采规模</w:t>
            </w:r>
            <w:r>
              <w:rPr>
                <w:rFonts w:hint="eastAsia" w:cs="Times New Roman"/>
                <w:color w:val="000000"/>
                <w:kern w:val="0"/>
                <w:sz w:val="24"/>
                <w:szCs w:val="24"/>
                <w:lang w:val="en-US" w:eastAsia="zh-CN" w:bidi="ar"/>
              </w:rPr>
              <w:t>81万立方米</w:t>
            </w:r>
            <w:r>
              <w:rPr>
                <w:rFonts w:hint="default" w:ascii="Times New Roman" w:hAnsi="Times New Roman" w:eastAsia="宋体" w:cs="Times New Roman"/>
                <w:color w:val="000000"/>
                <w:kern w:val="0"/>
                <w:sz w:val="24"/>
                <w:szCs w:val="24"/>
                <w:lang w:val="en-US" w:eastAsia="zh-CN" w:bidi="ar"/>
              </w:rPr>
              <w:t>/年</w:t>
            </w:r>
            <w:r>
              <w:rPr>
                <w:rFonts w:hint="default" w:ascii="Times New Roman" w:hAnsi="Times New Roman" w:cs="Times New Roman"/>
                <w:color w:val="000000"/>
                <w:sz w:val="24"/>
                <w:lang w:val="en-US" w:eastAsia="zh-CN"/>
              </w:rPr>
              <w:t>。开采矿种为饰面用花岗岩，矿山服务年限为25年。矿山开采方式为露天采矿，其主体工程包括露天采场、办公生活区、矿区道路、供配电系统、供水系统及环保工程等</w:t>
            </w:r>
            <w:r>
              <w:rPr>
                <w:rFonts w:hint="eastAsia" w:cs="Times New Roman"/>
                <w:color w:val="000000"/>
                <w:sz w:val="24"/>
                <w:lang w:val="en-US" w:eastAsia="zh-CN"/>
              </w:rPr>
              <w:t>。</w:t>
            </w:r>
          </w:p>
          <w:p w14:paraId="2E4DAEEF">
            <w:pPr>
              <w:pStyle w:val="23"/>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矿区生产服务年限：</w:t>
            </w:r>
            <w:r>
              <w:rPr>
                <w:rFonts w:hint="default" w:ascii="Times New Roman" w:hAnsi="Times New Roman" w:eastAsia="宋体" w:cs="Times New Roman"/>
                <w:color w:val="000000"/>
                <w:kern w:val="0"/>
                <w:sz w:val="24"/>
                <w:szCs w:val="24"/>
                <w:highlight w:val="none"/>
                <w:lang w:val="en-US" w:eastAsia="zh-CN" w:bidi="ar"/>
              </w:rPr>
              <w:t>25.2</w:t>
            </w:r>
            <w:r>
              <w:rPr>
                <w:rFonts w:hint="eastAsia" w:cs="Times New Roman"/>
                <w:color w:val="000000"/>
                <w:kern w:val="0"/>
                <w:sz w:val="24"/>
                <w:szCs w:val="24"/>
                <w:highlight w:val="none"/>
                <w:lang w:val="en-US" w:eastAsia="zh-CN" w:bidi="ar"/>
              </w:rPr>
              <w:t>年</w:t>
            </w:r>
            <w:r>
              <w:rPr>
                <w:rFonts w:hint="default" w:ascii="Times New Roman" w:hAnsi="Times New Roman" w:cs="Times New Roman"/>
                <w:color w:val="000000"/>
                <w:sz w:val="24"/>
                <w:lang w:val="en-US" w:eastAsia="zh-CN"/>
              </w:rPr>
              <w:t>。</w:t>
            </w:r>
          </w:p>
          <w:p w14:paraId="44EDFDED">
            <w:pPr>
              <w:pStyle w:val="23"/>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劳动定员及生产制度：</w:t>
            </w:r>
            <w:r>
              <w:rPr>
                <w:rFonts w:hint="eastAsia" w:ascii="Times New Roman" w:hAnsi="Times New Roman" w:eastAsia="宋体" w:cs="Times New Roman"/>
                <w:color w:val="000000"/>
                <w:kern w:val="0"/>
                <w:sz w:val="24"/>
                <w:szCs w:val="24"/>
                <w:lang w:val="en-US" w:eastAsia="zh-CN" w:bidi="ar"/>
              </w:rPr>
              <w:t>劳动定员</w:t>
            </w:r>
            <w:r>
              <w:rPr>
                <w:rFonts w:hint="eastAsia" w:cs="Times New Roman"/>
                <w:color w:val="000000"/>
                <w:kern w:val="0"/>
                <w:sz w:val="24"/>
                <w:szCs w:val="24"/>
                <w:lang w:val="en-US" w:eastAsia="zh-CN" w:bidi="ar"/>
              </w:rPr>
              <w:t>71</w:t>
            </w:r>
            <w:r>
              <w:rPr>
                <w:rFonts w:hint="eastAsia" w:ascii="Times New Roman" w:hAnsi="Times New Roman" w:eastAsia="宋体" w:cs="Times New Roman"/>
                <w:color w:val="000000"/>
                <w:kern w:val="0"/>
                <w:sz w:val="24"/>
                <w:szCs w:val="24"/>
                <w:lang w:val="en-US" w:eastAsia="zh-CN" w:bidi="ar"/>
              </w:rPr>
              <w:t>人，</w:t>
            </w:r>
            <w:r>
              <w:rPr>
                <w:rFonts w:hint="default" w:ascii="Times New Roman" w:hAnsi="Times New Roman" w:eastAsia="宋体" w:cs="Times New Roman"/>
                <w:color w:val="000000"/>
                <w:kern w:val="0"/>
                <w:sz w:val="24"/>
                <w:szCs w:val="24"/>
                <w:lang w:val="en-US" w:eastAsia="zh-CN" w:bidi="ar"/>
              </w:rPr>
              <w:t>年工作300天，每天2班，每班工作8小时</w:t>
            </w:r>
            <w:r>
              <w:rPr>
                <w:rFonts w:hint="default" w:ascii="Times New Roman" w:hAnsi="Times New Roman" w:cs="Times New Roman"/>
                <w:color w:val="000000"/>
                <w:sz w:val="24"/>
                <w:lang w:val="en-US" w:eastAsia="zh-CN"/>
              </w:rPr>
              <w:t>。</w:t>
            </w:r>
          </w:p>
          <w:p w14:paraId="01922E84">
            <w:pPr>
              <w:keepNext w:val="0"/>
              <w:keepLines w:val="0"/>
              <w:widowControl/>
              <w:suppressLineNumbers w:val="0"/>
              <w:ind w:firstLine="480" w:firstLineChars="200"/>
              <w:jc w:val="left"/>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sz w:val="24"/>
                <w:szCs w:val="22"/>
                <w:lang w:val="en-US" w:eastAsia="zh-CN" w:bidi="zh-CN"/>
              </w:rPr>
              <w:t>矿区采矿范</w:t>
            </w:r>
            <w:r>
              <w:rPr>
                <w:rFonts w:hint="default" w:ascii="Times New Roman" w:hAnsi="Times New Roman" w:eastAsia="宋体" w:cs="Times New Roman"/>
                <w:color w:val="000000"/>
                <w:kern w:val="0"/>
                <w:sz w:val="24"/>
                <w:szCs w:val="24"/>
                <w:lang w:val="en-US" w:eastAsia="zh-CN" w:bidi="ar"/>
              </w:rPr>
              <w:t>围：C8-1</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C8-2</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C8-3</w:t>
            </w:r>
            <w:r>
              <w:rPr>
                <w:rFonts w:hint="eastAsia" w:ascii="Times New Roman" w:hAnsi="Times New Roman" w:eastAsia="宋体" w:cs="Times New Roman"/>
                <w:color w:val="000000"/>
                <w:kern w:val="0"/>
                <w:sz w:val="24"/>
                <w:szCs w:val="24"/>
                <w:lang w:val="en-US" w:eastAsia="zh-CN" w:bidi="ar"/>
              </w:rPr>
              <w:t>区块位于白鸭山矿区南西端，詹家山南侧，大坳水库西侧，大坳二级电站北东侧，险套湾北侧，呈不规则多边形，面积</w:t>
            </w:r>
            <w:r>
              <w:rPr>
                <w:rFonts w:hint="default" w:cs="Times New Roman"/>
                <w:color w:val="000000"/>
                <w:kern w:val="0"/>
                <w:sz w:val="24"/>
                <w:szCs w:val="24"/>
                <w:lang w:val="en-US" w:eastAsia="zh-CN" w:bidi="ar"/>
              </w:rPr>
              <w:t>1.5033</w:t>
            </w:r>
            <w:r>
              <w:rPr>
                <w:rFonts w:hint="default" w:ascii="Times New Roman" w:hAnsi="Times New Roman" w:cs="Times New Roman"/>
                <w:color w:val="000000"/>
                <w:sz w:val="24"/>
                <w:lang w:val="en-US" w:eastAsia="zh-CN"/>
              </w:rPr>
              <w:t>km</w:t>
            </w:r>
            <w:r>
              <w:rPr>
                <w:rFonts w:hint="default" w:ascii="Times New Roman" w:hAnsi="Times New Roman" w:cs="Times New Roman"/>
                <w:color w:val="000000"/>
                <w:sz w:val="24"/>
                <w:vertAlign w:val="superscript"/>
                <w:lang w:val="en-US" w:eastAsia="zh-CN"/>
              </w:rPr>
              <w:t>2</w:t>
            </w:r>
            <w:r>
              <w:rPr>
                <w:rFonts w:hint="eastAsia" w:ascii="Times New Roman" w:hAnsi="Times New Roman" w:eastAsia="宋体" w:cs="Times New Roman"/>
                <w:color w:val="000000"/>
                <w:kern w:val="0"/>
                <w:sz w:val="24"/>
                <w:szCs w:val="24"/>
                <w:lang w:val="en-US" w:eastAsia="zh-CN" w:bidi="ar"/>
              </w:rPr>
              <w:t>。</w:t>
            </w:r>
          </w:p>
          <w:p w14:paraId="2560FC9B">
            <w:pPr>
              <w:keepNext w:val="0"/>
              <w:keepLines w:val="0"/>
              <w:widowControl/>
              <w:suppressLineNumbers w:val="0"/>
              <w:ind w:firstLine="480" w:firstLineChars="200"/>
              <w:jc w:val="left"/>
              <w:rPr>
                <w:rFonts w:hint="default" w:ascii="Times New Roman" w:hAnsi="Times New Roman" w:cs="Times New Roman"/>
                <w:sz w:val="24"/>
                <w:szCs w:val="32"/>
                <w:lang w:eastAsia="zh-CN"/>
              </w:rPr>
            </w:pPr>
            <w:r>
              <w:rPr>
                <w:color w:val="000000"/>
                <w:sz w:val="24"/>
                <w:szCs w:val="24"/>
              </w:rPr>
              <w:t>白鸭山矿区</w:t>
            </w:r>
            <w:r>
              <w:rPr>
                <w:rFonts w:hint="eastAsia"/>
                <w:color w:val="000000"/>
                <w:sz w:val="24"/>
                <w:szCs w:val="24"/>
                <w:lang w:eastAsia="zh-CN"/>
              </w:rPr>
              <w:t>C8区块</w:t>
            </w:r>
            <w:r>
              <w:rPr>
                <w:color w:val="000000"/>
                <w:sz w:val="24"/>
                <w:szCs w:val="24"/>
              </w:rPr>
              <w:t>边界拐点坐标（CGCS2000）</w:t>
            </w:r>
            <w:r>
              <w:rPr>
                <w:rFonts w:hint="default" w:ascii="Times New Roman" w:hAnsi="Times New Roman" w:cs="Times New Roman"/>
                <w:sz w:val="24"/>
                <w:szCs w:val="32"/>
              </w:rPr>
              <w:t>见下表。</w:t>
            </w:r>
          </w:p>
          <w:p w14:paraId="4D7BB82F">
            <w:pPr>
              <w:autoSpaceDE/>
              <w:autoSpaceDN/>
              <w:spacing w:before="156" w:beforeLines="50" w:line="240" w:lineRule="auto"/>
              <w:jc w:val="center"/>
              <w:rPr>
                <w:rFonts w:hint="default" w:ascii="Times New Roman" w:hAnsi="Times New Roman" w:eastAsia="宋体" w:cs="Times New Roman"/>
                <w:b/>
                <w:bCs/>
                <w:color w:val="auto"/>
                <w:kern w:val="2"/>
                <w:sz w:val="24"/>
                <w:lang w:val="zh-CN" w:bidi="ar-SA"/>
              </w:rPr>
            </w:pPr>
            <w:r>
              <w:rPr>
                <w:rFonts w:hint="default" w:ascii="Times New Roman" w:hAnsi="Times New Roman" w:eastAsia="宋体" w:cs="Times New Roman"/>
                <w:b/>
                <w:bCs/>
                <w:color w:val="auto"/>
                <w:kern w:val="2"/>
                <w:sz w:val="24"/>
                <w:lang w:val="en-US" w:eastAsia="zh-CN" w:bidi="ar-SA"/>
              </w:rPr>
              <w:t xml:space="preserve">表4-1  </w:t>
            </w:r>
            <w:r>
              <w:rPr>
                <w:b/>
                <w:color w:val="000000"/>
                <w:sz w:val="24"/>
                <w:szCs w:val="24"/>
              </w:rPr>
              <w:t>白鸭山矿区</w:t>
            </w:r>
            <w:r>
              <w:rPr>
                <w:rFonts w:hint="eastAsia"/>
                <w:b/>
                <w:color w:val="000000"/>
                <w:sz w:val="24"/>
                <w:szCs w:val="24"/>
                <w:lang w:eastAsia="zh-CN"/>
              </w:rPr>
              <w:t>C8区块</w:t>
            </w:r>
            <w:r>
              <w:rPr>
                <w:b/>
                <w:color w:val="000000"/>
                <w:sz w:val="24"/>
                <w:szCs w:val="24"/>
              </w:rPr>
              <w:t>拐点坐标（CGCS2000）</w:t>
            </w:r>
            <w:r>
              <w:rPr>
                <w:rFonts w:hint="default" w:ascii="Times New Roman" w:hAnsi="Times New Roman" w:eastAsia="宋体" w:cs="Times New Roman"/>
                <w:b/>
                <w:bCs/>
                <w:color w:val="auto"/>
                <w:kern w:val="2"/>
                <w:sz w:val="24"/>
                <w:lang w:val="en-US" w:eastAsia="zh-CN" w:bidi="ar-SA"/>
              </w:rPr>
              <w:t>一览</w:t>
            </w:r>
            <w:r>
              <w:rPr>
                <w:rFonts w:hint="default" w:ascii="Times New Roman" w:hAnsi="Times New Roman" w:eastAsia="宋体" w:cs="Times New Roman"/>
                <w:b/>
                <w:bCs/>
                <w:color w:val="auto"/>
                <w:kern w:val="2"/>
                <w:sz w:val="24"/>
                <w:lang w:val="zh-CN" w:bidi="ar-SA"/>
              </w:rPr>
              <w:t>表</w:t>
            </w:r>
          </w:p>
          <w:tbl>
            <w:tblPr>
              <w:tblStyle w:val="39"/>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45"/>
              <w:gridCol w:w="1350"/>
              <w:gridCol w:w="1751"/>
              <w:gridCol w:w="1840"/>
              <w:gridCol w:w="2719"/>
            </w:tblGrid>
            <w:tr w14:paraId="7CF5BC9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747" w:type="pct"/>
                  <w:vMerge w:val="restart"/>
                  <w:tcBorders>
                    <w:top w:val="single" w:color="000000" w:sz="12" w:space="0"/>
                    <w:bottom w:val="single" w:color="000000" w:sz="4" w:space="0"/>
                  </w:tcBorders>
                  <w:noWrap w:val="0"/>
                  <w:vAlign w:val="center"/>
                </w:tcPr>
                <w:p w14:paraId="59A8B847">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bCs/>
                      <w:color w:val="000000"/>
                      <w:spacing w:val="6"/>
                      <w:kern w:val="2"/>
                      <w:sz w:val="18"/>
                      <w:szCs w:val="18"/>
                      <w:highlight w:val="none"/>
                      <w:lang w:val="en-US" w:eastAsia="zh-CN" w:bidi="ar-SA"/>
                    </w:rPr>
                  </w:pPr>
                  <w:r>
                    <w:rPr>
                      <w:rFonts w:hint="default" w:ascii="Times New Roman" w:hAnsi="Times New Roman" w:eastAsia="宋体" w:cs="Times New Roman"/>
                      <w:b/>
                      <w:bCs/>
                      <w:color w:val="000000"/>
                      <w:spacing w:val="6"/>
                      <w:kern w:val="2"/>
                      <w:sz w:val="18"/>
                      <w:szCs w:val="18"/>
                      <w:highlight w:val="none"/>
                      <w:lang w:val="en-US" w:eastAsia="zh-CN" w:bidi="ar-SA"/>
                    </w:rPr>
                    <w:t>区块编号</w:t>
                  </w:r>
                </w:p>
              </w:tc>
              <w:tc>
                <w:tcPr>
                  <w:tcW w:w="749" w:type="pct"/>
                  <w:vMerge w:val="restart"/>
                  <w:tcBorders>
                    <w:top w:val="single" w:color="000000" w:sz="12" w:space="0"/>
                    <w:bottom w:val="single" w:color="000000" w:sz="4" w:space="0"/>
                  </w:tcBorders>
                  <w:noWrap w:val="0"/>
                  <w:vAlign w:val="center"/>
                </w:tcPr>
                <w:p w14:paraId="79629FD6">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bCs/>
                      <w:color w:val="000000"/>
                      <w:spacing w:val="6"/>
                      <w:kern w:val="2"/>
                      <w:sz w:val="18"/>
                      <w:szCs w:val="18"/>
                      <w:highlight w:val="none"/>
                      <w:lang w:val="en-US" w:eastAsia="zh-CN" w:bidi="ar-SA"/>
                    </w:rPr>
                  </w:pPr>
                  <w:r>
                    <w:rPr>
                      <w:rFonts w:hint="default" w:ascii="Times New Roman" w:hAnsi="Times New Roman" w:eastAsia="宋体" w:cs="Times New Roman"/>
                      <w:b/>
                      <w:bCs/>
                      <w:color w:val="000000"/>
                      <w:spacing w:val="6"/>
                      <w:kern w:val="2"/>
                      <w:sz w:val="18"/>
                      <w:szCs w:val="18"/>
                      <w:highlight w:val="none"/>
                      <w:lang w:val="en-US" w:eastAsia="zh-CN" w:bidi="ar-SA"/>
                    </w:rPr>
                    <w:t>拐点号</w:t>
                  </w:r>
                </w:p>
              </w:tc>
              <w:tc>
                <w:tcPr>
                  <w:tcW w:w="1993" w:type="pct"/>
                  <w:gridSpan w:val="2"/>
                  <w:tcBorders>
                    <w:top w:val="single" w:color="000000" w:sz="12" w:space="0"/>
                    <w:bottom w:val="single" w:color="000000" w:sz="4" w:space="0"/>
                  </w:tcBorders>
                  <w:noWrap w:val="0"/>
                  <w:vAlign w:val="center"/>
                </w:tcPr>
                <w:p w14:paraId="5B94A563">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bCs/>
                      <w:color w:val="000000"/>
                      <w:spacing w:val="6"/>
                      <w:kern w:val="2"/>
                      <w:sz w:val="18"/>
                      <w:szCs w:val="18"/>
                      <w:highlight w:val="none"/>
                      <w:lang w:val="en-US" w:eastAsia="zh-CN" w:bidi="ar-SA"/>
                    </w:rPr>
                  </w:pPr>
                  <w:r>
                    <w:rPr>
                      <w:rFonts w:hint="default" w:ascii="Times New Roman" w:hAnsi="Times New Roman" w:eastAsia="宋体" w:cs="Times New Roman"/>
                      <w:b/>
                      <w:bCs/>
                      <w:color w:val="000000"/>
                      <w:spacing w:val="6"/>
                      <w:kern w:val="2"/>
                      <w:sz w:val="18"/>
                      <w:szCs w:val="18"/>
                      <w:highlight w:val="none"/>
                      <w:lang w:val="en-US" w:eastAsia="zh-CN" w:bidi="ar-SA"/>
                    </w:rPr>
                    <w:t>拐点坐标(CGCS2000坐标系)</w:t>
                  </w:r>
                </w:p>
              </w:tc>
              <w:tc>
                <w:tcPr>
                  <w:tcW w:w="1509" w:type="pct"/>
                  <w:vMerge w:val="restart"/>
                  <w:tcBorders>
                    <w:top w:val="single" w:color="000000" w:sz="12" w:space="0"/>
                    <w:bottom w:val="single" w:color="000000" w:sz="12" w:space="0"/>
                  </w:tcBorders>
                  <w:noWrap w:val="0"/>
                  <w:vAlign w:val="center"/>
                </w:tcPr>
                <w:p w14:paraId="41B294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bCs/>
                      <w:color w:val="000000"/>
                      <w:spacing w:val="6"/>
                      <w:kern w:val="2"/>
                      <w:sz w:val="18"/>
                      <w:szCs w:val="18"/>
                      <w:highlight w:val="none"/>
                      <w:lang w:val="en-US" w:eastAsia="zh-CN" w:bidi="ar-SA"/>
                    </w:rPr>
                    <w:t>开采标高</w:t>
                  </w:r>
                </w:p>
              </w:tc>
            </w:tr>
            <w:tr w14:paraId="171FC32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747" w:type="pct"/>
                  <w:vMerge w:val="continue"/>
                  <w:tcBorders>
                    <w:top w:val="single" w:color="000000" w:sz="4" w:space="0"/>
                    <w:bottom w:val="single" w:color="000000" w:sz="12" w:space="0"/>
                  </w:tcBorders>
                  <w:noWrap w:val="0"/>
                  <w:vAlign w:val="center"/>
                </w:tcPr>
                <w:p w14:paraId="19C2CB7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000000"/>
                      <w:spacing w:val="6"/>
                      <w:kern w:val="2"/>
                      <w:sz w:val="18"/>
                      <w:szCs w:val="18"/>
                      <w:highlight w:val="none"/>
                      <w:lang w:val="en-US" w:eastAsia="zh-CN" w:bidi="ar-SA"/>
                    </w:rPr>
                  </w:pPr>
                </w:p>
              </w:tc>
              <w:tc>
                <w:tcPr>
                  <w:tcW w:w="749" w:type="pct"/>
                  <w:vMerge w:val="continue"/>
                  <w:tcBorders>
                    <w:top w:val="single" w:color="000000" w:sz="4" w:space="0"/>
                    <w:bottom w:val="single" w:color="000000" w:sz="12" w:space="0"/>
                  </w:tcBorders>
                  <w:noWrap w:val="0"/>
                  <w:vAlign w:val="center"/>
                </w:tcPr>
                <w:p w14:paraId="1B82949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000000"/>
                      <w:spacing w:val="6"/>
                      <w:kern w:val="2"/>
                      <w:sz w:val="18"/>
                      <w:szCs w:val="18"/>
                      <w:highlight w:val="none"/>
                      <w:lang w:val="en-US" w:eastAsia="zh-CN" w:bidi="ar-SA"/>
                    </w:rPr>
                  </w:pPr>
                </w:p>
              </w:tc>
              <w:tc>
                <w:tcPr>
                  <w:tcW w:w="972" w:type="pct"/>
                  <w:tcBorders>
                    <w:top w:val="single" w:color="000000" w:sz="4" w:space="0"/>
                    <w:bottom w:val="single" w:color="000000" w:sz="12" w:space="0"/>
                  </w:tcBorders>
                  <w:noWrap w:val="0"/>
                  <w:vAlign w:val="center"/>
                </w:tcPr>
                <w:p w14:paraId="33DB49B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000000"/>
                      <w:spacing w:val="6"/>
                      <w:kern w:val="2"/>
                      <w:sz w:val="18"/>
                      <w:szCs w:val="18"/>
                      <w:highlight w:val="none"/>
                      <w:lang w:val="en-US" w:eastAsia="zh-CN" w:bidi="ar-SA"/>
                    </w:rPr>
                  </w:pPr>
                  <w:r>
                    <w:rPr>
                      <w:rFonts w:hint="default" w:ascii="Times New Roman" w:hAnsi="Times New Roman" w:eastAsia="宋体" w:cs="Times New Roman"/>
                      <w:b/>
                      <w:bCs/>
                      <w:color w:val="000000"/>
                      <w:spacing w:val="6"/>
                      <w:kern w:val="2"/>
                      <w:sz w:val="18"/>
                      <w:szCs w:val="18"/>
                      <w:highlight w:val="none"/>
                      <w:lang w:val="en-US" w:eastAsia="zh-CN" w:bidi="ar-SA"/>
                    </w:rPr>
                    <w:t>X</w:t>
                  </w:r>
                </w:p>
              </w:tc>
              <w:tc>
                <w:tcPr>
                  <w:tcW w:w="1021" w:type="pct"/>
                  <w:tcBorders>
                    <w:top w:val="single" w:color="000000" w:sz="4" w:space="0"/>
                    <w:bottom w:val="single" w:color="000000" w:sz="12" w:space="0"/>
                  </w:tcBorders>
                  <w:noWrap w:val="0"/>
                  <w:vAlign w:val="center"/>
                </w:tcPr>
                <w:p w14:paraId="02BD7F8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000000"/>
                      <w:spacing w:val="6"/>
                      <w:kern w:val="2"/>
                      <w:sz w:val="18"/>
                      <w:szCs w:val="18"/>
                      <w:highlight w:val="none"/>
                      <w:lang w:val="en-US" w:eastAsia="zh-CN" w:bidi="ar-SA"/>
                    </w:rPr>
                  </w:pPr>
                  <w:r>
                    <w:rPr>
                      <w:rFonts w:hint="default" w:ascii="Times New Roman" w:hAnsi="Times New Roman" w:eastAsia="宋体" w:cs="Times New Roman"/>
                      <w:b/>
                      <w:bCs/>
                      <w:color w:val="000000"/>
                      <w:spacing w:val="6"/>
                      <w:kern w:val="2"/>
                      <w:sz w:val="18"/>
                      <w:szCs w:val="18"/>
                      <w:highlight w:val="none"/>
                      <w:lang w:val="en-US" w:eastAsia="zh-CN" w:bidi="ar-SA"/>
                    </w:rPr>
                    <w:t>Y</w:t>
                  </w:r>
                </w:p>
              </w:tc>
              <w:tc>
                <w:tcPr>
                  <w:tcW w:w="1509" w:type="pct"/>
                  <w:vMerge w:val="continue"/>
                  <w:tcBorders>
                    <w:top w:val="single" w:color="000000" w:sz="12" w:space="0"/>
                    <w:bottom w:val="single" w:color="000000" w:sz="12" w:space="0"/>
                  </w:tcBorders>
                  <w:noWrap w:val="0"/>
                  <w:vAlign w:val="center"/>
                </w:tcPr>
                <w:p w14:paraId="0F0BC5D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6F54939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747" w:type="pct"/>
                  <w:vMerge w:val="restart"/>
                  <w:tcBorders>
                    <w:top w:val="single" w:color="000000" w:sz="12" w:space="0"/>
                  </w:tcBorders>
                  <w:noWrap w:val="0"/>
                  <w:vAlign w:val="center"/>
                </w:tcPr>
                <w:p w14:paraId="42FB41C2">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Times New Roman" w:cs="Times New Roman"/>
                      <w:color w:val="000000"/>
                      <w:spacing w:val="-6"/>
                      <w:sz w:val="18"/>
                      <w:szCs w:val="18"/>
                      <w:highlight w:val="none"/>
                    </w:rPr>
                    <w:t>C8-1</w:t>
                  </w:r>
                </w:p>
              </w:tc>
              <w:tc>
                <w:tcPr>
                  <w:tcW w:w="1374" w:type="dxa"/>
                  <w:tcBorders>
                    <w:top w:val="single" w:color="000000" w:sz="12" w:space="0"/>
                  </w:tcBorders>
                  <w:noWrap w:val="0"/>
                  <w:vAlign w:val="center"/>
                </w:tcPr>
                <w:p w14:paraId="1F8F90FF">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72" w:type="pct"/>
                  <w:tcBorders>
                    <w:top w:val="single" w:color="000000" w:sz="12" w:space="0"/>
                  </w:tcBorders>
                  <w:noWrap w:val="0"/>
                  <w:vAlign w:val="center"/>
                </w:tcPr>
                <w:p w14:paraId="6246319F">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3439883.63</w:t>
                  </w:r>
                </w:p>
              </w:tc>
              <w:tc>
                <w:tcPr>
                  <w:tcW w:w="1021" w:type="pct"/>
                  <w:tcBorders>
                    <w:top w:val="single" w:color="000000" w:sz="12" w:space="0"/>
                  </w:tcBorders>
                  <w:noWrap w:val="0"/>
                  <w:vAlign w:val="center"/>
                </w:tcPr>
                <w:p w14:paraId="2D8EC69C">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38601626.20</w:t>
                  </w:r>
                </w:p>
              </w:tc>
              <w:tc>
                <w:tcPr>
                  <w:tcW w:w="1509" w:type="pct"/>
                  <w:vMerge w:val="restart"/>
                  <w:tcBorders>
                    <w:top w:val="single" w:color="000000" w:sz="12" w:space="0"/>
                  </w:tcBorders>
                  <w:noWrap w:val="0"/>
                  <w:vAlign w:val="center"/>
                </w:tcPr>
                <w:p w14:paraId="43E1515E">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标高+330米至+220米</w:t>
                  </w:r>
                </w:p>
              </w:tc>
            </w:tr>
            <w:tr w14:paraId="658D654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05A6B09C">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4D462D6F">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72" w:type="pct"/>
                  <w:noWrap w:val="0"/>
                  <w:vAlign w:val="center"/>
                </w:tcPr>
                <w:p w14:paraId="2B98467E">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3439830.33</w:t>
                  </w:r>
                </w:p>
              </w:tc>
              <w:tc>
                <w:tcPr>
                  <w:tcW w:w="1021" w:type="pct"/>
                  <w:noWrap w:val="0"/>
                  <w:vAlign w:val="center"/>
                </w:tcPr>
                <w:p w14:paraId="0FE5DD8E">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38601893.47</w:t>
                  </w:r>
                </w:p>
              </w:tc>
              <w:tc>
                <w:tcPr>
                  <w:tcW w:w="1509" w:type="pct"/>
                  <w:vMerge w:val="continue"/>
                  <w:noWrap w:val="0"/>
                  <w:vAlign w:val="center"/>
                </w:tcPr>
                <w:p w14:paraId="238A9CCC">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4619E1E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747" w:type="pct"/>
                  <w:vMerge w:val="continue"/>
                  <w:noWrap w:val="0"/>
                  <w:vAlign w:val="center"/>
                </w:tcPr>
                <w:p w14:paraId="115F45C7">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3F1D3BA0">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72" w:type="pct"/>
                  <w:noWrap w:val="0"/>
                  <w:vAlign w:val="center"/>
                </w:tcPr>
                <w:p w14:paraId="754D1421">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3439555.02</w:t>
                  </w:r>
                </w:p>
              </w:tc>
              <w:tc>
                <w:tcPr>
                  <w:tcW w:w="1021" w:type="pct"/>
                  <w:noWrap w:val="0"/>
                  <w:vAlign w:val="center"/>
                </w:tcPr>
                <w:p w14:paraId="6EB6B473">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38601746.0</w:t>
                  </w:r>
                </w:p>
              </w:tc>
              <w:tc>
                <w:tcPr>
                  <w:tcW w:w="1509" w:type="pct"/>
                  <w:vMerge w:val="continue"/>
                  <w:noWrap w:val="0"/>
                  <w:vAlign w:val="center"/>
                </w:tcPr>
                <w:p w14:paraId="4A8DB004">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1267A28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747" w:type="pct"/>
                  <w:vMerge w:val="continue"/>
                  <w:noWrap w:val="0"/>
                  <w:vAlign w:val="center"/>
                </w:tcPr>
                <w:p w14:paraId="0B393E87">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7BAFBCA5">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72" w:type="pct"/>
                  <w:noWrap w:val="0"/>
                  <w:vAlign w:val="center"/>
                </w:tcPr>
                <w:p w14:paraId="7FDA7401">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3439103.00</w:t>
                  </w:r>
                </w:p>
              </w:tc>
              <w:tc>
                <w:tcPr>
                  <w:tcW w:w="1021" w:type="pct"/>
                  <w:noWrap w:val="0"/>
                  <w:vAlign w:val="center"/>
                </w:tcPr>
                <w:p w14:paraId="7ED5D87C">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38601572.00</w:t>
                  </w:r>
                </w:p>
              </w:tc>
              <w:tc>
                <w:tcPr>
                  <w:tcW w:w="1509" w:type="pct"/>
                  <w:vMerge w:val="continue"/>
                  <w:noWrap w:val="0"/>
                  <w:vAlign w:val="center"/>
                </w:tcPr>
                <w:p w14:paraId="00AC0B6D">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3B263C6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347ED47C">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4B974701">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72" w:type="pct"/>
                  <w:noWrap w:val="0"/>
                  <w:vAlign w:val="center"/>
                </w:tcPr>
                <w:p w14:paraId="383BD8A8">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3439096.26</w:t>
                  </w:r>
                </w:p>
              </w:tc>
              <w:tc>
                <w:tcPr>
                  <w:tcW w:w="1021" w:type="pct"/>
                  <w:noWrap w:val="0"/>
                  <w:vAlign w:val="center"/>
                </w:tcPr>
                <w:p w14:paraId="44757D50">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38601301.49</w:t>
                  </w:r>
                </w:p>
              </w:tc>
              <w:tc>
                <w:tcPr>
                  <w:tcW w:w="1509" w:type="pct"/>
                  <w:vMerge w:val="continue"/>
                  <w:noWrap w:val="0"/>
                  <w:vAlign w:val="center"/>
                </w:tcPr>
                <w:p w14:paraId="1977F300">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4F3CEC5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747" w:type="pct"/>
                  <w:vMerge w:val="continue"/>
                  <w:noWrap w:val="0"/>
                  <w:vAlign w:val="center"/>
                </w:tcPr>
                <w:p w14:paraId="6FA58B11">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5F9410AB">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72" w:type="pct"/>
                  <w:noWrap w:val="0"/>
                  <w:vAlign w:val="center"/>
                </w:tcPr>
                <w:p w14:paraId="5F39A948">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3439258.02</w:t>
                  </w:r>
                </w:p>
              </w:tc>
              <w:tc>
                <w:tcPr>
                  <w:tcW w:w="1021" w:type="pct"/>
                  <w:noWrap w:val="0"/>
                  <w:vAlign w:val="center"/>
                </w:tcPr>
                <w:p w14:paraId="3EC89D5D">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38601183.38</w:t>
                  </w:r>
                </w:p>
              </w:tc>
              <w:tc>
                <w:tcPr>
                  <w:tcW w:w="1509" w:type="pct"/>
                  <w:vMerge w:val="continue"/>
                  <w:noWrap w:val="0"/>
                  <w:vAlign w:val="center"/>
                </w:tcPr>
                <w:p w14:paraId="34265E7A">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50D7E41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747" w:type="pct"/>
                  <w:vMerge w:val="continue"/>
                  <w:noWrap w:val="0"/>
                  <w:vAlign w:val="center"/>
                </w:tcPr>
                <w:p w14:paraId="4719C172">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62224731">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72" w:type="pct"/>
                  <w:noWrap w:val="0"/>
                  <w:vAlign w:val="center"/>
                </w:tcPr>
                <w:p w14:paraId="7635C84E">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3439423.03</w:t>
                  </w:r>
                </w:p>
              </w:tc>
              <w:tc>
                <w:tcPr>
                  <w:tcW w:w="1021" w:type="pct"/>
                  <w:noWrap w:val="0"/>
                  <w:vAlign w:val="center"/>
                </w:tcPr>
                <w:p w14:paraId="4752D162">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38601195.92</w:t>
                  </w:r>
                </w:p>
              </w:tc>
              <w:tc>
                <w:tcPr>
                  <w:tcW w:w="1509" w:type="pct"/>
                  <w:vMerge w:val="continue"/>
                  <w:noWrap w:val="0"/>
                  <w:vAlign w:val="center"/>
                </w:tcPr>
                <w:p w14:paraId="0B4F345A">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13F6141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1814D841">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7A9DAB39">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72" w:type="pct"/>
                  <w:noWrap w:val="0"/>
                  <w:vAlign w:val="center"/>
                </w:tcPr>
                <w:p w14:paraId="32073B46">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3439582.50</w:t>
                  </w:r>
                </w:p>
              </w:tc>
              <w:tc>
                <w:tcPr>
                  <w:tcW w:w="1021" w:type="pct"/>
                  <w:noWrap w:val="0"/>
                  <w:vAlign w:val="center"/>
                </w:tcPr>
                <w:p w14:paraId="78E49E0B">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38601468.83</w:t>
                  </w:r>
                </w:p>
              </w:tc>
              <w:tc>
                <w:tcPr>
                  <w:tcW w:w="1509" w:type="pct"/>
                  <w:vMerge w:val="continue"/>
                  <w:noWrap w:val="0"/>
                  <w:vAlign w:val="center"/>
                </w:tcPr>
                <w:p w14:paraId="2E00EEE4">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6CF5F69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restart"/>
                  <w:noWrap w:val="0"/>
                  <w:vAlign w:val="center"/>
                </w:tcPr>
                <w:p w14:paraId="2A8AE971">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Times New Roman" w:cs="Times New Roman"/>
                      <w:color w:val="000000"/>
                      <w:spacing w:val="-1"/>
                      <w:sz w:val="18"/>
                      <w:szCs w:val="18"/>
                      <w:highlight w:val="none"/>
                    </w:rPr>
                    <w:t>C</w:t>
                  </w:r>
                  <w:r>
                    <w:rPr>
                      <w:rFonts w:hint="default" w:ascii="Times New Roman" w:hAnsi="Times New Roman" w:eastAsia="Times New Roman" w:cs="Times New Roman"/>
                      <w:color w:val="000000"/>
                      <w:spacing w:val="-2"/>
                      <w:sz w:val="18"/>
                      <w:szCs w:val="18"/>
                      <w:highlight w:val="none"/>
                    </w:rPr>
                    <w:t>8-</w:t>
                  </w:r>
                  <w:r>
                    <w:rPr>
                      <w:rFonts w:hint="default" w:ascii="Times New Roman" w:hAnsi="Times New Roman" w:eastAsia="Times New Roman" w:cs="Times New Roman"/>
                      <w:color w:val="000000"/>
                      <w:spacing w:val="-1"/>
                      <w:sz w:val="18"/>
                      <w:szCs w:val="18"/>
                      <w:highlight w:val="none"/>
                    </w:rPr>
                    <w:t>2</w:t>
                  </w:r>
                </w:p>
              </w:tc>
              <w:tc>
                <w:tcPr>
                  <w:tcW w:w="1374" w:type="dxa"/>
                  <w:noWrap w:val="0"/>
                  <w:vAlign w:val="center"/>
                </w:tcPr>
                <w:p w14:paraId="4503B5E1">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72" w:type="pct"/>
                  <w:noWrap w:val="0"/>
                  <w:vAlign w:val="center"/>
                </w:tcPr>
                <w:p w14:paraId="11F491F8">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3439830.33</w:t>
                  </w:r>
                </w:p>
              </w:tc>
              <w:tc>
                <w:tcPr>
                  <w:tcW w:w="1021" w:type="pct"/>
                  <w:noWrap w:val="0"/>
                  <w:vAlign w:val="center"/>
                </w:tcPr>
                <w:p w14:paraId="60DEF135">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38601893.47</w:t>
                  </w:r>
                </w:p>
              </w:tc>
              <w:tc>
                <w:tcPr>
                  <w:tcW w:w="1509" w:type="pct"/>
                  <w:vMerge w:val="restart"/>
                  <w:noWrap w:val="0"/>
                  <w:vAlign w:val="center"/>
                </w:tcPr>
                <w:p w14:paraId="129596D5">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标高+450米至+270米</w:t>
                  </w:r>
                </w:p>
              </w:tc>
            </w:tr>
            <w:tr w14:paraId="1C0ACE7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40A3B8ED">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40E628F9">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72" w:type="pct"/>
                  <w:noWrap w:val="0"/>
                  <w:vAlign w:val="center"/>
                </w:tcPr>
                <w:p w14:paraId="18405943">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3439704.14</w:t>
                  </w:r>
                </w:p>
              </w:tc>
              <w:tc>
                <w:tcPr>
                  <w:tcW w:w="1021" w:type="pct"/>
                  <w:noWrap w:val="0"/>
                  <w:vAlign w:val="center"/>
                </w:tcPr>
                <w:p w14:paraId="7AFF97C8">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38602456.35</w:t>
                  </w:r>
                </w:p>
              </w:tc>
              <w:tc>
                <w:tcPr>
                  <w:tcW w:w="1509" w:type="pct"/>
                  <w:vMerge w:val="continue"/>
                  <w:noWrap w:val="0"/>
                  <w:vAlign w:val="center"/>
                </w:tcPr>
                <w:p w14:paraId="66088799">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458AF0E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7AB38869">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41D44E7C">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72" w:type="pct"/>
                  <w:noWrap w:val="0"/>
                  <w:vAlign w:val="center"/>
                </w:tcPr>
                <w:p w14:paraId="0F7C17E0">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3439528.00</w:t>
                  </w:r>
                </w:p>
              </w:tc>
              <w:tc>
                <w:tcPr>
                  <w:tcW w:w="1021" w:type="pct"/>
                  <w:noWrap w:val="0"/>
                  <w:vAlign w:val="center"/>
                </w:tcPr>
                <w:p w14:paraId="207B5EDF">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38602435.00</w:t>
                  </w:r>
                </w:p>
              </w:tc>
              <w:tc>
                <w:tcPr>
                  <w:tcW w:w="1509" w:type="pct"/>
                  <w:vMerge w:val="continue"/>
                  <w:noWrap w:val="0"/>
                  <w:vAlign w:val="center"/>
                </w:tcPr>
                <w:p w14:paraId="39F840FE">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193B1F6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01A8F4F2">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68BB119E">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72" w:type="pct"/>
                  <w:noWrap w:val="0"/>
                  <w:vAlign w:val="center"/>
                </w:tcPr>
                <w:p w14:paraId="3C1FADFE">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3439218.00</w:t>
                  </w:r>
                </w:p>
              </w:tc>
              <w:tc>
                <w:tcPr>
                  <w:tcW w:w="1021" w:type="pct"/>
                  <w:noWrap w:val="0"/>
                  <w:vAlign w:val="center"/>
                </w:tcPr>
                <w:p w14:paraId="00AB60FD">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38602362.00</w:t>
                  </w:r>
                </w:p>
              </w:tc>
              <w:tc>
                <w:tcPr>
                  <w:tcW w:w="1509" w:type="pct"/>
                  <w:vMerge w:val="continue"/>
                  <w:noWrap w:val="0"/>
                  <w:vAlign w:val="center"/>
                </w:tcPr>
                <w:p w14:paraId="7747B451">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5EA37AD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73A37CFD">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53C8101A">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72" w:type="pct"/>
                  <w:noWrap w:val="0"/>
                  <w:vAlign w:val="center"/>
                </w:tcPr>
                <w:p w14:paraId="33FF8327">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3439185.38</w:t>
                  </w:r>
                </w:p>
              </w:tc>
              <w:tc>
                <w:tcPr>
                  <w:tcW w:w="1021" w:type="pct"/>
                  <w:noWrap w:val="0"/>
                  <w:vAlign w:val="center"/>
                </w:tcPr>
                <w:p w14:paraId="3BD03400">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38602953.61</w:t>
                  </w:r>
                </w:p>
              </w:tc>
              <w:tc>
                <w:tcPr>
                  <w:tcW w:w="1509" w:type="pct"/>
                  <w:vMerge w:val="continue"/>
                  <w:noWrap w:val="0"/>
                  <w:vAlign w:val="center"/>
                </w:tcPr>
                <w:p w14:paraId="46714830">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3368A83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6E3AF7BE">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11A12759">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72" w:type="pct"/>
                  <w:noWrap w:val="0"/>
                  <w:vAlign w:val="center"/>
                </w:tcPr>
                <w:p w14:paraId="42178D18">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3439282.49</w:t>
                  </w:r>
                </w:p>
              </w:tc>
              <w:tc>
                <w:tcPr>
                  <w:tcW w:w="1021" w:type="pct"/>
                  <w:noWrap w:val="0"/>
                  <w:vAlign w:val="center"/>
                </w:tcPr>
                <w:p w14:paraId="5FB118B1">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38603114.86</w:t>
                  </w:r>
                </w:p>
              </w:tc>
              <w:tc>
                <w:tcPr>
                  <w:tcW w:w="1509" w:type="pct"/>
                  <w:vMerge w:val="continue"/>
                  <w:noWrap w:val="0"/>
                  <w:vAlign w:val="center"/>
                </w:tcPr>
                <w:p w14:paraId="59101FAF">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43236A0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16943D13">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1AF45EFA">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72" w:type="pct"/>
                  <w:noWrap w:val="0"/>
                  <w:vAlign w:val="center"/>
                </w:tcPr>
                <w:p w14:paraId="0D21DC62">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3439399.47</w:t>
                  </w:r>
                </w:p>
              </w:tc>
              <w:tc>
                <w:tcPr>
                  <w:tcW w:w="1021" w:type="pct"/>
                  <w:noWrap w:val="0"/>
                  <w:vAlign w:val="center"/>
                </w:tcPr>
                <w:p w14:paraId="1C2D35F0">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38603255.78</w:t>
                  </w:r>
                </w:p>
              </w:tc>
              <w:tc>
                <w:tcPr>
                  <w:tcW w:w="1509" w:type="pct"/>
                  <w:vMerge w:val="continue"/>
                  <w:noWrap w:val="0"/>
                  <w:vAlign w:val="center"/>
                </w:tcPr>
                <w:p w14:paraId="34E8E8FC">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53C1967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7" w:hRule="atLeast"/>
                <w:jc w:val="center"/>
              </w:trPr>
              <w:tc>
                <w:tcPr>
                  <w:tcW w:w="747" w:type="pct"/>
                  <w:vMerge w:val="continue"/>
                  <w:noWrap w:val="0"/>
                  <w:vAlign w:val="center"/>
                </w:tcPr>
                <w:p w14:paraId="246D544E">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47C47EF2">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72" w:type="pct"/>
                  <w:noWrap w:val="0"/>
                  <w:vAlign w:val="center"/>
                </w:tcPr>
                <w:p w14:paraId="0B0EBF83">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3439159.88</w:t>
                  </w:r>
                </w:p>
              </w:tc>
              <w:tc>
                <w:tcPr>
                  <w:tcW w:w="1021" w:type="pct"/>
                  <w:noWrap w:val="0"/>
                  <w:vAlign w:val="center"/>
                </w:tcPr>
                <w:p w14:paraId="0D3F8AC3">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38603495.11</w:t>
                  </w:r>
                </w:p>
              </w:tc>
              <w:tc>
                <w:tcPr>
                  <w:tcW w:w="1509" w:type="pct"/>
                  <w:vMerge w:val="continue"/>
                  <w:noWrap w:val="0"/>
                  <w:vAlign w:val="center"/>
                </w:tcPr>
                <w:p w14:paraId="3869D199">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26F64F6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2B88A41F">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0C3BBD8B">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72" w:type="pct"/>
                  <w:noWrap w:val="0"/>
                  <w:vAlign w:val="center"/>
                </w:tcPr>
                <w:p w14:paraId="73E61731">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3438571.67</w:t>
                  </w:r>
                </w:p>
              </w:tc>
              <w:tc>
                <w:tcPr>
                  <w:tcW w:w="1021" w:type="pct"/>
                  <w:noWrap w:val="0"/>
                  <w:vAlign w:val="center"/>
                </w:tcPr>
                <w:p w14:paraId="4993096B">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38602877.23</w:t>
                  </w:r>
                </w:p>
              </w:tc>
              <w:tc>
                <w:tcPr>
                  <w:tcW w:w="1509" w:type="pct"/>
                  <w:vMerge w:val="continue"/>
                  <w:noWrap w:val="0"/>
                  <w:vAlign w:val="center"/>
                </w:tcPr>
                <w:p w14:paraId="13C3EFF0">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0AF5E54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5F2C7F8D">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7831D62A">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72" w:type="pct"/>
                  <w:noWrap w:val="0"/>
                  <w:vAlign w:val="center"/>
                </w:tcPr>
                <w:p w14:paraId="494D0933">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3438658.65</w:t>
                  </w:r>
                </w:p>
              </w:tc>
              <w:tc>
                <w:tcPr>
                  <w:tcW w:w="1021" w:type="pct"/>
                  <w:noWrap w:val="0"/>
                  <w:vAlign w:val="center"/>
                </w:tcPr>
                <w:p w14:paraId="088C69DD">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38602772.56</w:t>
                  </w:r>
                </w:p>
              </w:tc>
              <w:tc>
                <w:tcPr>
                  <w:tcW w:w="1509" w:type="pct"/>
                  <w:vMerge w:val="continue"/>
                  <w:noWrap w:val="0"/>
                  <w:vAlign w:val="center"/>
                </w:tcPr>
                <w:p w14:paraId="7F920F42">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5914CA2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2B026A05">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28E9A7CD">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72" w:type="pct"/>
                  <w:noWrap w:val="0"/>
                  <w:vAlign w:val="center"/>
                </w:tcPr>
                <w:p w14:paraId="49113CD5">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3438770.32</w:t>
                  </w:r>
                </w:p>
              </w:tc>
              <w:tc>
                <w:tcPr>
                  <w:tcW w:w="1021" w:type="pct"/>
                  <w:noWrap w:val="0"/>
                  <w:vAlign w:val="center"/>
                </w:tcPr>
                <w:p w14:paraId="0D16D3A7">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38602684.17</w:t>
                  </w:r>
                </w:p>
              </w:tc>
              <w:tc>
                <w:tcPr>
                  <w:tcW w:w="1509" w:type="pct"/>
                  <w:vMerge w:val="continue"/>
                  <w:noWrap w:val="0"/>
                  <w:vAlign w:val="center"/>
                </w:tcPr>
                <w:p w14:paraId="1E63E61A">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4B1D7E5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7D2DF035">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50A3F4E9">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72" w:type="pct"/>
                  <w:noWrap w:val="0"/>
                  <w:vAlign w:val="center"/>
                </w:tcPr>
                <w:p w14:paraId="1B3DC170">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3438677.16</w:t>
                  </w:r>
                </w:p>
              </w:tc>
              <w:tc>
                <w:tcPr>
                  <w:tcW w:w="1021" w:type="pct"/>
                  <w:noWrap w:val="0"/>
                  <w:vAlign w:val="center"/>
                </w:tcPr>
                <w:p w14:paraId="37CC698B">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38602539.70</w:t>
                  </w:r>
                </w:p>
              </w:tc>
              <w:tc>
                <w:tcPr>
                  <w:tcW w:w="1509" w:type="pct"/>
                  <w:vMerge w:val="continue"/>
                  <w:noWrap w:val="0"/>
                  <w:vAlign w:val="center"/>
                </w:tcPr>
                <w:p w14:paraId="7D084E47">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5CAEC31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4E62B8BB">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53140E88">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72" w:type="pct"/>
                  <w:noWrap w:val="0"/>
                  <w:vAlign w:val="center"/>
                </w:tcPr>
                <w:p w14:paraId="3538728C">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3438638.25</w:t>
                  </w:r>
                </w:p>
              </w:tc>
              <w:tc>
                <w:tcPr>
                  <w:tcW w:w="1021" w:type="pct"/>
                  <w:noWrap w:val="0"/>
                  <w:vAlign w:val="center"/>
                </w:tcPr>
                <w:p w14:paraId="7FA19EE2">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38602392.63</w:t>
                  </w:r>
                </w:p>
              </w:tc>
              <w:tc>
                <w:tcPr>
                  <w:tcW w:w="1509" w:type="pct"/>
                  <w:vMerge w:val="continue"/>
                  <w:noWrap w:val="0"/>
                  <w:vAlign w:val="center"/>
                </w:tcPr>
                <w:p w14:paraId="07B891A9">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14A055A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698B7D9C">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3ADD15FA">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972" w:type="pct"/>
                  <w:noWrap w:val="0"/>
                  <w:vAlign w:val="center"/>
                </w:tcPr>
                <w:p w14:paraId="5B221C8B">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3438686.11</w:t>
                  </w:r>
                </w:p>
              </w:tc>
              <w:tc>
                <w:tcPr>
                  <w:tcW w:w="1021" w:type="pct"/>
                  <w:noWrap w:val="0"/>
                  <w:vAlign w:val="center"/>
                </w:tcPr>
                <w:p w14:paraId="1A412618">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38602286.15</w:t>
                  </w:r>
                </w:p>
              </w:tc>
              <w:tc>
                <w:tcPr>
                  <w:tcW w:w="1509" w:type="pct"/>
                  <w:vMerge w:val="continue"/>
                  <w:noWrap w:val="0"/>
                  <w:vAlign w:val="center"/>
                </w:tcPr>
                <w:p w14:paraId="1BBFB841">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247F98C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47717BD0">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2C4D7153">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72" w:type="pct"/>
                  <w:noWrap w:val="0"/>
                  <w:vAlign w:val="center"/>
                </w:tcPr>
                <w:p w14:paraId="69EB21CD">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3439040.40</w:t>
                  </w:r>
                </w:p>
              </w:tc>
              <w:tc>
                <w:tcPr>
                  <w:tcW w:w="1021" w:type="pct"/>
                  <w:noWrap w:val="0"/>
                  <w:vAlign w:val="center"/>
                </w:tcPr>
                <w:p w14:paraId="1F6FC20A">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38602152.36</w:t>
                  </w:r>
                </w:p>
              </w:tc>
              <w:tc>
                <w:tcPr>
                  <w:tcW w:w="1509" w:type="pct"/>
                  <w:vMerge w:val="continue"/>
                  <w:noWrap w:val="0"/>
                  <w:vAlign w:val="center"/>
                </w:tcPr>
                <w:p w14:paraId="4F559243">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4D868AD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0E2E3363">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77EC850E">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72" w:type="pct"/>
                  <w:noWrap w:val="0"/>
                  <w:vAlign w:val="center"/>
                </w:tcPr>
                <w:p w14:paraId="37237171">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3439174.59</w:t>
                  </w:r>
                </w:p>
              </w:tc>
              <w:tc>
                <w:tcPr>
                  <w:tcW w:w="1021" w:type="pct"/>
                  <w:noWrap w:val="0"/>
                  <w:vAlign w:val="center"/>
                </w:tcPr>
                <w:p w14:paraId="6BEBF1CB">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38601821.55</w:t>
                  </w:r>
                </w:p>
              </w:tc>
              <w:tc>
                <w:tcPr>
                  <w:tcW w:w="1509" w:type="pct"/>
                  <w:vMerge w:val="continue"/>
                  <w:noWrap w:val="0"/>
                  <w:vAlign w:val="center"/>
                </w:tcPr>
                <w:p w14:paraId="6FC09A79">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1D48A40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569A2D75">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5DD1EDAC">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72" w:type="pct"/>
                  <w:noWrap w:val="0"/>
                  <w:vAlign w:val="center"/>
                </w:tcPr>
                <w:p w14:paraId="2C23D471">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3439103.00</w:t>
                  </w:r>
                </w:p>
              </w:tc>
              <w:tc>
                <w:tcPr>
                  <w:tcW w:w="1021" w:type="pct"/>
                  <w:noWrap w:val="0"/>
                  <w:vAlign w:val="center"/>
                </w:tcPr>
                <w:p w14:paraId="4F5F9B33">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38601572.00</w:t>
                  </w:r>
                </w:p>
              </w:tc>
              <w:tc>
                <w:tcPr>
                  <w:tcW w:w="1509" w:type="pct"/>
                  <w:vMerge w:val="continue"/>
                  <w:noWrap w:val="0"/>
                  <w:vAlign w:val="center"/>
                </w:tcPr>
                <w:p w14:paraId="10DE2C3C">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1A98F3D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19393686">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c>
                <w:tcPr>
                  <w:tcW w:w="1374" w:type="dxa"/>
                  <w:noWrap w:val="0"/>
                  <w:vAlign w:val="center"/>
                </w:tcPr>
                <w:p w14:paraId="37839C31">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72" w:type="pct"/>
                  <w:noWrap w:val="0"/>
                  <w:vAlign w:val="center"/>
                </w:tcPr>
                <w:p w14:paraId="3AC6B7A5">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3439555.02</w:t>
                  </w:r>
                </w:p>
              </w:tc>
              <w:tc>
                <w:tcPr>
                  <w:tcW w:w="1021" w:type="pct"/>
                  <w:noWrap w:val="0"/>
                  <w:vAlign w:val="center"/>
                </w:tcPr>
                <w:p w14:paraId="7009D8D0">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38601746.01</w:t>
                  </w:r>
                </w:p>
              </w:tc>
              <w:tc>
                <w:tcPr>
                  <w:tcW w:w="1509" w:type="pct"/>
                  <w:vMerge w:val="continue"/>
                  <w:noWrap w:val="0"/>
                  <w:vAlign w:val="center"/>
                </w:tcPr>
                <w:p w14:paraId="3D9E05BF">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p>
              </w:tc>
            </w:tr>
            <w:tr w14:paraId="283E877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restart"/>
                  <w:noWrap w:val="0"/>
                  <w:vAlign w:val="center"/>
                </w:tcPr>
                <w:p w14:paraId="2EBC7D44">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Times New Roman" w:cs="Times New Roman"/>
                      <w:color w:val="000000"/>
                      <w:spacing w:val="-1"/>
                      <w:sz w:val="18"/>
                      <w:szCs w:val="18"/>
                      <w:highlight w:val="none"/>
                    </w:rPr>
                    <w:t>C</w:t>
                  </w:r>
                  <w:r>
                    <w:rPr>
                      <w:rFonts w:hint="default" w:ascii="Times New Roman" w:hAnsi="Times New Roman" w:eastAsia="Times New Roman" w:cs="Times New Roman"/>
                      <w:color w:val="000000"/>
                      <w:spacing w:val="-2"/>
                      <w:sz w:val="18"/>
                      <w:szCs w:val="18"/>
                      <w:highlight w:val="none"/>
                    </w:rPr>
                    <w:t>8-</w:t>
                  </w:r>
                  <w:r>
                    <w:rPr>
                      <w:rFonts w:hint="default" w:ascii="Times New Roman" w:hAnsi="Times New Roman" w:eastAsia="Times New Roman" w:cs="Times New Roman"/>
                      <w:color w:val="000000"/>
                      <w:spacing w:val="-1"/>
                      <w:sz w:val="18"/>
                      <w:szCs w:val="18"/>
                      <w:highlight w:val="none"/>
                    </w:rPr>
                    <w:t>3</w:t>
                  </w:r>
                </w:p>
              </w:tc>
              <w:tc>
                <w:tcPr>
                  <w:tcW w:w="1374" w:type="dxa"/>
                  <w:noWrap w:val="0"/>
                  <w:vAlign w:val="center"/>
                </w:tcPr>
                <w:p w14:paraId="03F6EC90">
                  <w:pPr>
                    <w:keepNext w:val="0"/>
                    <w:keepLines w:val="0"/>
                    <w:widowControl/>
                    <w:suppressLineNumbers w:val="0"/>
                    <w:jc w:val="center"/>
                    <w:textAlignment w:val="center"/>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72" w:type="pct"/>
                  <w:noWrap w:val="0"/>
                  <w:vAlign w:val="center"/>
                </w:tcPr>
                <w:p w14:paraId="74C1688D">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3438414.31</w:t>
                  </w:r>
                </w:p>
              </w:tc>
              <w:tc>
                <w:tcPr>
                  <w:tcW w:w="1021" w:type="pct"/>
                  <w:noWrap w:val="0"/>
                  <w:vAlign w:val="center"/>
                </w:tcPr>
                <w:p w14:paraId="30357C13">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38602293.09</w:t>
                  </w:r>
                </w:p>
              </w:tc>
              <w:tc>
                <w:tcPr>
                  <w:tcW w:w="1509" w:type="pct"/>
                  <w:vMerge w:val="restart"/>
                  <w:tcBorders>
                    <w:bottom w:val="single" w:color="000000" w:sz="12" w:space="0"/>
                  </w:tcBorders>
                  <w:noWrap w:val="0"/>
                  <w:vAlign w:val="center"/>
                </w:tcPr>
                <w:p w14:paraId="4BFC9622">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标高+307米至+230米</w:t>
                  </w:r>
                </w:p>
              </w:tc>
            </w:tr>
            <w:tr w14:paraId="77FDA83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0E99165B">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
                    </w:rPr>
                  </w:pPr>
                </w:p>
              </w:tc>
              <w:tc>
                <w:tcPr>
                  <w:tcW w:w="1374" w:type="dxa"/>
                  <w:noWrap w:val="0"/>
                  <w:vAlign w:val="center"/>
                </w:tcPr>
                <w:p w14:paraId="18B7002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72" w:type="pct"/>
                  <w:noWrap w:val="0"/>
                  <w:vAlign w:val="center"/>
                </w:tcPr>
                <w:p w14:paraId="13D3DB20">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3438658.65</w:t>
                  </w:r>
                </w:p>
              </w:tc>
              <w:tc>
                <w:tcPr>
                  <w:tcW w:w="1021" w:type="pct"/>
                  <w:noWrap w:val="0"/>
                  <w:vAlign w:val="center"/>
                </w:tcPr>
                <w:p w14:paraId="334479E9">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38602772.56</w:t>
                  </w:r>
                </w:p>
              </w:tc>
              <w:tc>
                <w:tcPr>
                  <w:tcW w:w="1509" w:type="pct"/>
                  <w:vMerge w:val="continue"/>
                  <w:tcBorders>
                    <w:top w:val="single" w:color="000000" w:sz="12" w:space="0"/>
                    <w:bottom w:val="single" w:color="000000" w:sz="12" w:space="0"/>
                  </w:tcBorders>
                  <w:noWrap w:val="0"/>
                  <w:vAlign w:val="center"/>
                </w:tcPr>
                <w:p w14:paraId="1E00020B">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
                    </w:rPr>
                  </w:pPr>
                </w:p>
              </w:tc>
            </w:tr>
            <w:tr w14:paraId="3947390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5D8E1859">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
                    </w:rPr>
                  </w:pPr>
                </w:p>
              </w:tc>
              <w:tc>
                <w:tcPr>
                  <w:tcW w:w="1374" w:type="dxa"/>
                  <w:noWrap w:val="0"/>
                  <w:vAlign w:val="center"/>
                </w:tcPr>
                <w:p w14:paraId="30CAE20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72" w:type="pct"/>
                  <w:noWrap w:val="0"/>
                  <w:vAlign w:val="center"/>
                </w:tcPr>
                <w:p w14:paraId="095B7753">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3438571.67</w:t>
                  </w:r>
                </w:p>
              </w:tc>
              <w:tc>
                <w:tcPr>
                  <w:tcW w:w="1021" w:type="pct"/>
                  <w:noWrap w:val="0"/>
                  <w:vAlign w:val="center"/>
                </w:tcPr>
                <w:p w14:paraId="438334C1">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38602877.23</w:t>
                  </w:r>
                </w:p>
              </w:tc>
              <w:tc>
                <w:tcPr>
                  <w:tcW w:w="1509" w:type="pct"/>
                  <w:vMerge w:val="continue"/>
                  <w:tcBorders>
                    <w:top w:val="single" w:color="000000" w:sz="12" w:space="0"/>
                    <w:bottom w:val="single" w:color="000000" w:sz="12" w:space="0"/>
                  </w:tcBorders>
                  <w:noWrap w:val="0"/>
                  <w:vAlign w:val="center"/>
                </w:tcPr>
                <w:p w14:paraId="30CB3D66">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
                    </w:rPr>
                  </w:pPr>
                </w:p>
              </w:tc>
            </w:tr>
            <w:tr w14:paraId="522D85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noWrap w:val="0"/>
                  <w:vAlign w:val="center"/>
                </w:tcPr>
                <w:p w14:paraId="61F29B70">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
                    </w:rPr>
                  </w:pPr>
                </w:p>
              </w:tc>
              <w:tc>
                <w:tcPr>
                  <w:tcW w:w="1374" w:type="dxa"/>
                  <w:noWrap w:val="0"/>
                  <w:vAlign w:val="center"/>
                </w:tcPr>
                <w:p w14:paraId="4A1FDCA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72" w:type="pct"/>
                  <w:noWrap w:val="0"/>
                  <w:vAlign w:val="center"/>
                </w:tcPr>
                <w:p w14:paraId="5E05E07E">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3438248.01</w:t>
                  </w:r>
                </w:p>
              </w:tc>
              <w:tc>
                <w:tcPr>
                  <w:tcW w:w="1021" w:type="pct"/>
                  <w:noWrap w:val="0"/>
                  <w:vAlign w:val="center"/>
                </w:tcPr>
                <w:p w14:paraId="7E204696">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38602847.24</w:t>
                  </w:r>
                </w:p>
              </w:tc>
              <w:tc>
                <w:tcPr>
                  <w:tcW w:w="1509" w:type="pct"/>
                  <w:vMerge w:val="continue"/>
                  <w:tcBorders>
                    <w:top w:val="single" w:color="000000" w:sz="12" w:space="0"/>
                    <w:bottom w:val="single" w:color="000000" w:sz="12" w:space="0"/>
                  </w:tcBorders>
                  <w:noWrap w:val="0"/>
                  <w:vAlign w:val="center"/>
                </w:tcPr>
                <w:p w14:paraId="43039D64">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
                    </w:rPr>
                  </w:pPr>
                </w:p>
              </w:tc>
            </w:tr>
            <w:tr w14:paraId="16E1EE6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747" w:type="pct"/>
                  <w:vMerge w:val="continue"/>
                  <w:tcBorders>
                    <w:bottom w:val="single" w:color="000000" w:sz="12" w:space="0"/>
                  </w:tcBorders>
                  <w:noWrap w:val="0"/>
                  <w:vAlign w:val="center"/>
                </w:tcPr>
                <w:p w14:paraId="2D580638">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
                    </w:rPr>
                  </w:pPr>
                </w:p>
              </w:tc>
              <w:tc>
                <w:tcPr>
                  <w:tcW w:w="1374" w:type="dxa"/>
                  <w:tcBorders>
                    <w:bottom w:val="single" w:color="000000" w:sz="12" w:space="0"/>
                  </w:tcBorders>
                  <w:noWrap w:val="0"/>
                  <w:vAlign w:val="center"/>
                </w:tcPr>
                <w:p w14:paraId="2632C0C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72" w:type="pct"/>
                  <w:tcBorders>
                    <w:bottom w:val="single" w:color="000000" w:sz="12" w:space="0"/>
                  </w:tcBorders>
                  <w:noWrap w:val="0"/>
                  <w:vAlign w:val="center"/>
                </w:tcPr>
                <w:p w14:paraId="04C6ACED">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3438215.17</w:t>
                  </w:r>
                </w:p>
              </w:tc>
              <w:tc>
                <w:tcPr>
                  <w:tcW w:w="1021" w:type="pct"/>
                  <w:tcBorders>
                    <w:bottom w:val="single" w:color="000000" w:sz="12" w:space="0"/>
                  </w:tcBorders>
                  <w:noWrap w:val="0"/>
                  <w:vAlign w:val="center"/>
                </w:tcPr>
                <w:p w14:paraId="5E2B3F3D">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b w:val="0"/>
                      <w:bCs w:val="0"/>
                      <w:color w:val="000000"/>
                      <w:spacing w:val="6"/>
                      <w:kern w:val="2"/>
                      <w:sz w:val="18"/>
                      <w:szCs w:val="18"/>
                      <w:highlight w:val="none"/>
                      <w:lang w:val="en-US" w:eastAsia="zh-CN" w:bidi="ar-SA"/>
                    </w:rPr>
                  </w:pPr>
                  <w:r>
                    <w:rPr>
                      <w:rFonts w:hint="default" w:ascii="Times New Roman" w:hAnsi="Times New Roman" w:eastAsia="宋体" w:cs="Times New Roman"/>
                      <w:b w:val="0"/>
                      <w:bCs w:val="0"/>
                      <w:color w:val="000000"/>
                      <w:spacing w:val="6"/>
                      <w:kern w:val="2"/>
                      <w:sz w:val="18"/>
                      <w:szCs w:val="18"/>
                      <w:highlight w:val="none"/>
                      <w:lang w:val="en-US" w:eastAsia="zh-CN" w:bidi="ar-SA"/>
                    </w:rPr>
                    <w:t>38602317.13</w:t>
                  </w:r>
                </w:p>
              </w:tc>
              <w:tc>
                <w:tcPr>
                  <w:tcW w:w="1509" w:type="pct"/>
                  <w:vMerge w:val="continue"/>
                  <w:tcBorders>
                    <w:top w:val="single" w:color="000000" w:sz="12" w:space="0"/>
                    <w:bottom w:val="single" w:color="000000" w:sz="12" w:space="0"/>
                  </w:tcBorders>
                  <w:noWrap w:val="0"/>
                  <w:vAlign w:val="center"/>
                </w:tcPr>
                <w:p w14:paraId="5001E312">
                  <w:pPr>
                    <w:pStyle w:val="45"/>
                    <w:keepNext w:val="0"/>
                    <w:keepLines w:val="0"/>
                    <w:pageBreakBefore w:val="0"/>
                    <w:widowControl w:val="0"/>
                    <w:kinsoku/>
                    <w:wordWrap/>
                    <w:overflowPunct/>
                    <w:topLinePunct w:val="0"/>
                    <w:autoSpaceDE/>
                    <w:autoSpaceDN/>
                    <w:bidi w:val="0"/>
                    <w:snapToGrid w:val="0"/>
                    <w:spacing w:line="240" w:lineRule="auto"/>
                    <w:ind w:left="0"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
                    </w:rPr>
                  </w:pPr>
                </w:p>
              </w:tc>
            </w:tr>
          </w:tbl>
          <w:p w14:paraId="36BA60A7">
            <w:pPr>
              <w:pStyle w:val="23"/>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sz w:val="24"/>
              </w:rPr>
            </w:pPr>
            <w:r>
              <w:rPr>
                <w:rFonts w:hint="default" w:ascii="Times New Roman" w:hAnsi="Times New Roman" w:cs="Times New Roman"/>
                <w:b/>
                <w:sz w:val="24"/>
              </w:rPr>
              <w:t>2、项目组成</w:t>
            </w:r>
          </w:p>
          <w:p w14:paraId="7C19518E">
            <w:pPr>
              <w:pStyle w:val="23"/>
              <w:keepNext w:val="0"/>
              <w:keepLines w:val="0"/>
              <w:pageBreakBefore w:val="0"/>
              <w:widowControl w:val="0"/>
              <w:tabs>
                <w:tab w:val="left" w:pos="1273"/>
              </w:tabs>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sz w:val="24"/>
                <w:lang w:eastAsia="zh-CN"/>
              </w:rPr>
            </w:pPr>
            <w:r>
              <w:rPr>
                <w:rFonts w:hint="default" w:ascii="Times New Roman" w:hAnsi="Times New Roman" w:cs="Times New Roman"/>
                <w:b/>
                <w:sz w:val="24"/>
              </w:rPr>
              <w:t>（1）</w:t>
            </w:r>
            <w:r>
              <w:rPr>
                <w:rFonts w:hint="default" w:ascii="Times New Roman" w:hAnsi="Times New Roman" w:cs="Times New Roman"/>
                <w:b/>
                <w:sz w:val="24"/>
                <w:lang w:val="en-US" w:eastAsia="zh-CN"/>
              </w:rPr>
              <w:t>建设内容</w:t>
            </w:r>
          </w:p>
          <w:p w14:paraId="4309A53C">
            <w:pPr>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jc w:val="both"/>
              <w:textAlignment w:val="auto"/>
              <w:rPr>
                <w:rFonts w:hint="default" w:ascii="Times New Roman" w:hAnsi="Times New Roman" w:cs="Times New Roman"/>
                <w:kern w:val="0"/>
                <w:sz w:val="24"/>
                <w:szCs w:val="24"/>
                <w:lang w:val="en-US"/>
              </w:rPr>
            </w:pPr>
            <w:r>
              <w:rPr>
                <w:rFonts w:hint="default" w:ascii="Times New Roman" w:hAnsi="Times New Roman" w:cs="Times New Roman"/>
                <w:sz w:val="24"/>
                <w:szCs w:val="24"/>
                <w:lang w:val="en-US" w:eastAsia="zh-CN"/>
              </w:rPr>
              <w:t>项目建设内容见下表。</w:t>
            </w:r>
          </w:p>
          <w:p w14:paraId="2D0243EC">
            <w:pPr>
              <w:autoSpaceDE/>
              <w:autoSpaceDN/>
              <w:spacing w:before="156" w:beforeLines="50" w:line="240" w:lineRule="auto"/>
              <w:jc w:val="center"/>
              <w:rPr>
                <w:rFonts w:hint="default" w:ascii="Times New Roman" w:hAnsi="Times New Roman" w:eastAsia="宋体" w:cs="Times New Roman"/>
                <w:b/>
                <w:bCs/>
                <w:color w:val="auto"/>
                <w:kern w:val="2"/>
                <w:sz w:val="24"/>
                <w:lang w:val="en-US" w:bidi="ar-SA"/>
              </w:rPr>
            </w:pPr>
            <w:r>
              <w:rPr>
                <w:rFonts w:hint="default" w:ascii="Times New Roman" w:hAnsi="Times New Roman" w:eastAsia="宋体" w:cs="Times New Roman"/>
                <w:b/>
                <w:bCs/>
                <w:color w:val="auto"/>
                <w:kern w:val="2"/>
                <w:sz w:val="24"/>
                <w:lang w:val="en-US" w:bidi="ar-SA"/>
              </w:rPr>
              <w:t>表</w:t>
            </w:r>
            <w:r>
              <w:rPr>
                <w:rFonts w:hint="default" w:ascii="Times New Roman" w:hAnsi="Times New Roman" w:eastAsia="宋体" w:cs="Times New Roman"/>
                <w:b/>
                <w:bCs/>
                <w:color w:val="auto"/>
                <w:kern w:val="2"/>
                <w:sz w:val="24"/>
                <w:lang w:val="en-US" w:eastAsia="zh-CN" w:bidi="ar-SA"/>
              </w:rPr>
              <w:t>4-2  项目建设内容</w:t>
            </w:r>
            <w:r>
              <w:rPr>
                <w:rFonts w:hint="default" w:ascii="Times New Roman" w:hAnsi="Times New Roman" w:eastAsia="宋体" w:cs="Times New Roman"/>
                <w:b/>
                <w:bCs/>
                <w:color w:val="auto"/>
                <w:kern w:val="2"/>
                <w:sz w:val="24"/>
                <w:lang w:val="en-US" w:bidi="ar-SA"/>
              </w:rPr>
              <w:t>一览表</w:t>
            </w:r>
          </w:p>
          <w:tbl>
            <w:tblPr>
              <w:tblStyle w:val="17"/>
              <w:tblW w:w="491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444"/>
              <w:gridCol w:w="426"/>
              <w:gridCol w:w="3269"/>
              <w:gridCol w:w="3050"/>
              <w:gridCol w:w="1080"/>
            </w:tblGrid>
            <w:tr w14:paraId="36930D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tcBorders>
                    <w:top w:val="single" w:color="auto" w:sz="12" w:space="0"/>
                    <w:bottom w:val="single" w:color="auto" w:sz="12" w:space="0"/>
                  </w:tcBorders>
                  <w:noWrap w:val="0"/>
                  <w:tcMar>
                    <w:top w:w="57" w:type="dxa"/>
                    <w:left w:w="28" w:type="dxa"/>
                    <w:bottom w:w="57" w:type="dxa"/>
                    <w:right w:w="28" w:type="dxa"/>
                  </w:tcMar>
                  <w:vAlign w:val="center"/>
                </w:tcPr>
                <w:p w14:paraId="6D9AE203">
                  <w:pPr>
                    <w:pStyle w:val="2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cs="Times New Roman"/>
                      <w:b/>
                      <w:bCs w:val="0"/>
                      <w:snapToGrid/>
                      <w:color w:val="000000"/>
                      <w:kern w:val="2"/>
                      <w:sz w:val="18"/>
                      <w:szCs w:val="18"/>
                    </w:rPr>
                    <w:t>工程</w:t>
                  </w:r>
                  <w:r>
                    <w:rPr>
                      <w:rFonts w:hint="default" w:ascii="Times New Roman" w:hAnsi="Times New Roman" w:cs="Times New Roman"/>
                      <w:b/>
                      <w:bCs w:val="0"/>
                      <w:snapToGrid/>
                      <w:color w:val="000000"/>
                      <w:kern w:val="2"/>
                      <w:sz w:val="18"/>
                      <w:szCs w:val="18"/>
                      <w:lang w:val="en-US" w:eastAsia="zh-CN"/>
                    </w:rPr>
                    <w:t>组成</w:t>
                  </w:r>
                </w:p>
              </w:tc>
              <w:tc>
                <w:tcPr>
                  <w:tcW w:w="906" w:type="dxa"/>
                  <w:gridSpan w:val="2"/>
                  <w:tcBorders>
                    <w:top w:val="single" w:color="auto" w:sz="12" w:space="0"/>
                    <w:bottom w:val="single" w:color="auto" w:sz="12" w:space="0"/>
                  </w:tcBorders>
                  <w:noWrap w:val="0"/>
                  <w:tcMar>
                    <w:top w:w="57" w:type="dxa"/>
                    <w:left w:w="28" w:type="dxa"/>
                    <w:bottom w:w="57" w:type="dxa"/>
                    <w:right w:w="28" w:type="dxa"/>
                  </w:tcMar>
                  <w:vAlign w:val="center"/>
                </w:tcPr>
                <w:p w14:paraId="25873EEE">
                  <w:pPr>
                    <w:pStyle w:val="2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cs="Times New Roman"/>
                      <w:b/>
                      <w:bCs w:val="0"/>
                      <w:snapToGrid/>
                      <w:color w:val="000000"/>
                      <w:kern w:val="2"/>
                      <w:sz w:val="18"/>
                      <w:szCs w:val="18"/>
                      <w:lang w:val="en-US" w:eastAsia="zh-CN"/>
                    </w:rPr>
                    <w:t>工程项目</w:t>
                  </w:r>
                </w:p>
              </w:tc>
              <w:tc>
                <w:tcPr>
                  <w:tcW w:w="3444" w:type="dxa"/>
                  <w:tcBorders>
                    <w:top w:val="single" w:color="auto" w:sz="12" w:space="0"/>
                    <w:bottom w:val="single" w:color="auto" w:sz="12" w:space="0"/>
                  </w:tcBorders>
                  <w:noWrap w:val="0"/>
                  <w:tcMar>
                    <w:top w:w="57" w:type="dxa"/>
                    <w:left w:w="28" w:type="dxa"/>
                    <w:bottom w:w="57" w:type="dxa"/>
                    <w:right w:w="28" w:type="dxa"/>
                  </w:tcMar>
                  <w:vAlign w:val="center"/>
                </w:tcPr>
                <w:p w14:paraId="6A635522">
                  <w:pPr>
                    <w:pStyle w:val="2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b/>
                      <w:sz w:val="18"/>
                      <w:szCs w:val="18"/>
                    </w:rPr>
                    <w:t>环评</w:t>
                  </w:r>
                  <w:r>
                    <w:rPr>
                      <w:rFonts w:hint="default" w:ascii="Times New Roman" w:hAnsi="Times New Roman" w:cs="Times New Roman"/>
                      <w:b/>
                      <w:sz w:val="18"/>
                      <w:szCs w:val="18"/>
                      <w:lang w:val="en-US" w:eastAsia="zh-CN"/>
                    </w:rPr>
                    <w:t>建设内容及规模</w:t>
                  </w:r>
                </w:p>
              </w:tc>
              <w:tc>
                <w:tcPr>
                  <w:tcW w:w="3205" w:type="dxa"/>
                  <w:tcBorders>
                    <w:top w:val="single" w:color="auto" w:sz="12" w:space="0"/>
                    <w:bottom w:val="single" w:color="auto" w:sz="12" w:space="0"/>
                  </w:tcBorders>
                  <w:noWrap w:val="0"/>
                  <w:tcMar>
                    <w:top w:w="57" w:type="dxa"/>
                    <w:left w:w="28" w:type="dxa"/>
                    <w:bottom w:w="57" w:type="dxa"/>
                    <w:right w:w="28" w:type="dxa"/>
                  </w:tcMar>
                  <w:vAlign w:val="center"/>
                </w:tcPr>
                <w:p w14:paraId="0E7B7F3F">
                  <w:pPr>
                    <w:pStyle w:val="2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b/>
                      <w:sz w:val="18"/>
                      <w:szCs w:val="18"/>
                    </w:rPr>
                    <w:t>实际</w:t>
                  </w:r>
                  <w:r>
                    <w:rPr>
                      <w:rFonts w:hint="default" w:ascii="Times New Roman" w:hAnsi="Times New Roman" w:cs="Times New Roman"/>
                      <w:b/>
                      <w:sz w:val="18"/>
                      <w:szCs w:val="18"/>
                      <w:lang w:val="en-US" w:eastAsia="zh-CN"/>
                    </w:rPr>
                    <w:t>建设内容及规模</w:t>
                  </w:r>
                </w:p>
              </w:tc>
              <w:tc>
                <w:tcPr>
                  <w:tcW w:w="1125" w:type="dxa"/>
                  <w:tcBorders>
                    <w:top w:val="single" w:color="auto" w:sz="12" w:space="0"/>
                    <w:bottom w:val="single" w:color="auto" w:sz="12" w:space="0"/>
                  </w:tcBorders>
                  <w:noWrap w:val="0"/>
                  <w:tcMar>
                    <w:top w:w="57" w:type="dxa"/>
                    <w:left w:w="28" w:type="dxa"/>
                    <w:bottom w:w="57" w:type="dxa"/>
                    <w:right w:w="28" w:type="dxa"/>
                  </w:tcMar>
                  <w:vAlign w:val="center"/>
                </w:tcPr>
                <w:p w14:paraId="32C169B0">
                  <w:pPr>
                    <w:pStyle w:val="2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val="0"/>
                      <w:color w:val="000000"/>
                      <w:sz w:val="18"/>
                      <w:szCs w:val="18"/>
                      <w:highlight w:val="none"/>
                      <w:lang w:eastAsia="zh-CN"/>
                    </w:rPr>
                  </w:pPr>
                  <w:r>
                    <w:rPr>
                      <w:rFonts w:hint="default" w:ascii="Times New Roman" w:hAnsi="Times New Roman" w:cs="Times New Roman"/>
                      <w:b/>
                      <w:sz w:val="18"/>
                      <w:szCs w:val="18"/>
                      <w:lang w:val="en-US" w:eastAsia="zh-CN"/>
                    </w:rPr>
                    <w:t>备注</w:t>
                  </w:r>
                </w:p>
              </w:tc>
            </w:tr>
            <w:tr w14:paraId="220BD7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5" w:hRule="atLeast"/>
                <w:tblHeader/>
                <w:jc w:val="center"/>
              </w:trPr>
              <w:tc>
                <w:tcPr>
                  <w:tcW w:w="819" w:type="dxa"/>
                  <w:vMerge w:val="restart"/>
                  <w:tcBorders>
                    <w:top w:val="single" w:color="auto" w:sz="12" w:space="0"/>
                    <w:tl2br w:val="nil"/>
                    <w:tr2bl w:val="nil"/>
                  </w:tcBorders>
                  <w:noWrap w:val="0"/>
                  <w:tcMar>
                    <w:top w:w="57" w:type="dxa"/>
                    <w:left w:w="28" w:type="dxa"/>
                    <w:bottom w:w="57" w:type="dxa"/>
                    <w:right w:w="28" w:type="dxa"/>
                  </w:tcMar>
                  <w:vAlign w:val="center"/>
                </w:tcPr>
                <w:p w14:paraId="77A899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主体工程</w:t>
                  </w:r>
                </w:p>
              </w:tc>
              <w:tc>
                <w:tcPr>
                  <w:tcW w:w="463" w:type="dxa"/>
                  <w:vMerge w:val="restart"/>
                  <w:tcBorders>
                    <w:top w:val="single" w:color="auto" w:sz="12" w:space="0"/>
                    <w:tl2br w:val="nil"/>
                    <w:tr2bl w:val="nil"/>
                  </w:tcBorders>
                  <w:noWrap w:val="0"/>
                  <w:tcMar>
                    <w:top w:w="57" w:type="dxa"/>
                    <w:left w:w="28" w:type="dxa"/>
                    <w:bottom w:w="57" w:type="dxa"/>
                    <w:right w:w="28" w:type="dxa"/>
                  </w:tcMar>
                  <w:vAlign w:val="center"/>
                </w:tcPr>
                <w:p w14:paraId="48EB920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露天采场</w:t>
                  </w:r>
                </w:p>
              </w:tc>
              <w:tc>
                <w:tcPr>
                  <w:tcW w:w="443" w:type="dxa"/>
                  <w:tcBorders>
                    <w:top w:val="single" w:color="auto" w:sz="12" w:space="0"/>
                    <w:tl2br w:val="nil"/>
                    <w:tr2bl w:val="nil"/>
                  </w:tcBorders>
                  <w:noWrap w:val="0"/>
                  <w:tcMar>
                    <w:top w:w="57" w:type="dxa"/>
                    <w:left w:w="28" w:type="dxa"/>
                    <w:bottom w:w="57" w:type="dxa"/>
                    <w:right w:w="28" w:type="dxa"/>
                  </w:tcMar>
                  <w:vAlign w:val="center"/>
                </w:tcPr>
                <w:p w14:paraId="3EF7C9E9">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color w:val="000000"/>
                      <w:sz w:val="18"/>
                      <w:szCs w:val="18"/>
                      <w:highlight w:val="none"/>
                    </w:rPr>
                  </w:pPr>
                  <w:r>
                    <w:rPr>
                      <w:rFonts w:hint="eastAsia" w:ascii="Times New Roman" w:hAnsi="Times New Roman"/>
                      <w:color w:val="000000"/>
                      <w:sz w:val="18"/>
                      <w:szCs w:val="18"/>
                      <w:highlight w:val="none"/>
                    </w:rPr>
                    <w:t>开采范围及</w:t>
                  </w:r>
                  <w:r>
                    <w:rPr>
                      <w:rFonts w:hint="eastAsia" w:ascii="Times New Roman" w:hAnsi="Times New Roman"/>
                      <w:color w:val="000000"/>
                      <w:sz w:val="18"/>
                      <w:szCs w:val="18"/>
                      <w:highlight w:val="none"/>
                      <w:lang w:val="en-US" w:eastAsia="zh-CN"/>
                    </w:rPr>
                    <w:t>储量</w:t>
                  </w:r>
                </w:p>
              </w:tc>
              <w:tc>
                <w:tcPr>
                  <w:tcW w:w="3444" w:type="dxa"/>
                  <w:tcBorders>
                    <w:top w:val="single" w:color="auto" w:sz="12" w:space="0"/>
                    <w:bottom w:val="single" w:color="auto" w:sz="4" w:space="0"/>
                  </w:tcBorders>
                  <w:noWrap w:val="0"/>
                  <w:vAlign w:val="center"/>
                </w:tcPr>
                <w:p w14:paraId="0C5DF264">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color w:val="000000"/>
                      <w:highlight w:val="none"/>
                    </w:rPr>
                  </w:pPr>
                  <w:r>
                    <w:rPr>
                      <w:rFonts w:hint="eastAsia" w:ascii="Times New Roman" w:hAnsi="Times New Roman" w:eastAsia="宋体" w:cs="Times New Roman"/>
                      <w:color w:val="000000"/>
                      <w:spacing w:val="0"/>
                      <w:kern w:val="2"/>
                      <w:position w:val="0"/>
                      <w:sz w:val="18"/>
                      <w:szCs w:val="18"/>
                      <w:highlight w:val="none"/>
                      <w:lang w:val="en-US" w:eastAsia="zh-CN" w:bidi="ar-SA"/>
                    </w:rPr>
                    <w:t>C8区块拟申请采矿权范围矿区总</w:t>
                  </w:r>
                  <w:r>
                    <w:rPr>
                      <w:rFonts w:hint="default" w:ascii="Times New Roman" w:hAnsi="Times New Roman" w:eastAsia="宋体" w:cs="Times New Roman"/>
                      <w:color w:val="000000"/>
                      <w:spacing w:val="0"/>
                      <w:kern w:val="2"/>
                      <w:position w:val="0"/>
                      <w:sz w:val="18"/>
                      <w:szCs w:val="18"/>
                      <w:highlight w:val="none"/>
                      <w:lang w:val="en-US" w:eastAsia="zh-CN" w:bidi="ar-SA"/>
                    </w:rPr>
                    <w:t>面积1.5033km</w:t>
                  </w:r>
                  <w:r>
                    <w:rPr>
                      <w:rFonts w:hint="default" w:ascii="Times New Roman" w:hAnsi="Times New Roman" w:eastAsia="宋体" w:cs="Times New Roman"/>
                      <w:color w:val="000000"/>
                      <w:spacing w:val="0"/>
                      <w:kern w:val="2"/>
                      <w:position w:val="0"/>
                      <w:sz w:val="18"/>
                      <w:szCs w:val="18"/>
                      <w:highlight w:val="none"/>
                      <w:vertAlign w:val="superscript"/>
                      <w:lang w:val="en-US" w:eastAsia="zh-CN" w:bidi="ar-SA"/>
                    </w:rPr>
                    <w:t>2</w:t>
                  </w:r>
                  <w:r>
                    <w:rPr>
                      <w:rFonts w:hint="default" w:ascii="Times New Roman" w:hAnsi="Times New Roman" w:eastAsia="宋体" w:cs="Times New Roman"/>
                      <w:color w:val="000000"/>
                      <w:spacing w:val="0"/>
                      <w:kern w:val="2"/>
                      <w:position w:val="0"/>
                      <w:sz w:val="18"/>
                      <w:szCs w:val="18"/>
                      <w:highlight w:val="none"/>
                      <w:lang w:val="en-US" w:eastAsia="zh-CN" w:bidi="ar-SA"/>
                    </w:rPr>
                    <w:t>，C8-1区块</w:t>
                  </w:r>
                  <w:r>
                    <w:rPr>
                      <w:rFonts w:hint="eastAsia" w:ascii="Times New Roman" w:hAnsi="Times New Roman" w:eastAsia="宋体" w:cs="Times New Roman"/>
                      <w:color w:val="000000"/>
                      <w:spacing w:val="0"/>
                      <w:kern w:val="2"/>
                      <w:position w:val="0"/>
                      <w:sz w:val="18"/>
                      <w:szCs w:val="18"/>
                      <w:highlight w:val="none"/>
                      <w:lang w:val="en-US" w:eastAsia="zh-CN" w:bidi="ar-SA"/>
                    </w:rPr>
                    <w:t>资源储量估算最低</w:t>
                  </w:r>
                  <w:r>
                    <w:rPr>
                      <w:rFonts w:hint="default" w:ascii="Times New Roman" w:hAnsi="Times New Roman" w:eastAsia="宋体" w:cs="Times New Roman"/>
                      <w:color w:val="000000"/>
                      <w:spacing w:val="0"/>
                      <w:kern w:val="2"/>
                      <w:position w:val="0"/>
                      <w:sz w:val="18"/>
                      <w:szCs w:val="18"/>
                      <w:highlight w:val="none"/>
                      <w:lang w:val="en-US" w:eastAsia="zh-CN" w:bidi="ar-SA"/>
                    </w:rPr>
                    <w:t>标高为+</w:t>
                  </w:r>
                  <w:r>
                    <w:rPr>
                      <w:rFonts w:hint="eastAsia" w:ascii="Times New Roman" w:hAnsi="Times New Roman" w:eastAsia="宋体" w:cs="Times New Roman"/>
                      <w:color w:val="000000"/>
                      <w:spacing w:val="0"/>
                      <w:kern w:val="2"/>
                      <w:position w:val="0"/>
                      <w:sz w:val="18"/>
                      <w:szCs w:val="18"/>
                      <w:highlight w:val="none"/>
                      <w:lang w:val="en-US" w:eastAsia="zh-CN" w:bidi="ar-SA"/>
                    </w:rPr>
                    <w:t>2</w:t>
                  </w:r>
                  <w:r>
                    <w:rPr>
                      <w:rFonts w:hint="default" w:ascii="Times New Roman" w:hAnsi="Times New Roman" w:eastAsia="宋体" w:cs="Times New Roman"/>
                      <w:color w:val="000000"/>
                      <w:spacing w:val="0"/>
                      <w:kern w:val="2"/>
                      <w:position w:val="0"/>
                      <w:sz w:val="18"/>
                      <w:szCs w:val="18"/>
                      <w:highlight w:val="none"/>
                      <w:lang w:val="en-US" w:eastAsia="zh-CN" w:bidi="ar-SA"/>
                    </w:rPr>
                    <w:t>20m；C8-2区块及C8-3区块资源储量估算最低标高为</w:t>
                  </w:r>
                  <w:r>
                    <w:rPr>
                      <w:rFonts w:hint="default" w:ascii="Times New Roman" w:hAnsi="Times New Roman" w:eastAsia="宋体" w:cs="Times New Roman"/>
                      <w:b w:val="0"/>
                      <w:bCs w:val="0"/>
                      <w:color w:val="000000"/>
                      <w:spacing w:val="6"/>
                      <w:kern w:val="2"/>
                      <w:sz w:val="18"/>
                      <w:szCs w:val="18"/>
                      <w:highlight w:val="none"/>
                      <w:lang w:val="en-US" w:eastAsia="zh-CN" w:bidi="ar-SA"/>
                    </w:rPr>
                    <w:t>+270米</w:t>
                  </w:r>
                  <w:r>
                    <w:rPr>
                      <w:rFonts w:hint="eastAsia" w:ascii="Times New Roman" w:hAnsi="Times New Roman" w:eastAsia="宋体" w:cs="Times New Roman"/>
                      <w:b w:val="0"/>
                      <w:bCs w:val="0"/>
                      <w:color w:val="000000"/>
                      <w:spacing w:val="6"/>
                      <w:kern w:val="2"/>
                      <w:sz w:val="18"/>
                      <w:szCs w:val="18"/>
                      <w:highlight w:val="none"/>
                      <w:lang w:val="en-US" w:eastAsia="zh-CN" w:bidi="ar-SA"/>
                    </w:rPr>
                    <w:t>和+22</w:t>
                  </w:r>
                  <w:r>
                    <w:rPr>
                      <w:rFonts w:hint="default" w:ascii="Times New Roman" w:hAnsi="Times New Roman" w:eastAsia="宋体" w:cs="Times New Roman"/>
                      <w:b w:val="0"/>
                      <w:bCs w:val="0"/>
                      <w:color w:val="000000"/>
                      <w:spacing w:val="6"/>
                      <w:kern w:val="2"/>
                      <w:sz w:val="18"/>
                      <w:szCs w:val="18"/>
                      <w:highlight w:val="none"/>
                      <w:lang w:val="en-US" w:eastAsia="zh-CN" w:bidi="ar-SA"/>
                    </w:rPr>
                    <w:t>0米</w:t>
                  </w:r>
                  <w:r>
                    <w:rPr>
                      <w:rFonts w:hint="eastAsia" w:ascii="Times New Roman" w:hAnsi="Times New Roman" w:eastAsia="宋体" w:cs="Times New Roman"/>
                      <w:color w:val="000000"/>
                      <w:spacing w:val="0"/>
                      <w:kern w:val="2"/>
                      <w:position w:val="0"/>
                      <w:sz w:val="18"/>
                      <w:szCs w:val="18"/>
                      <w:highlight w:val="none"/>
                      <w:lang w:val="en-US" w:eastAsia="zh-CN" w:bidi="ar-SA"/>
                    </w:rPr>
                    <w:t>。</w:t>
                  </w:r>
                </w:p>
                <w:p w14:paraId="12AE8F31">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Times New Roman" w:hAnsi="Times New Roman" w:eastAsia="宋体" w:cs="Times New Roman"/>
                      <w:color w:val="000000"/>
                      <w:spacing w:val="0"/>
                      <w:kern w:val="2"/>
                      <w:position w:val="0"/>
                      <w:sz w:val="18"/>
                      <w:szCs w:val="18"/>
                      <w:highlight w:val="none"/>
                      <w:lang w:val="en-US" w:eastAsia="zh-CN" w:bidi="ar-SA"/>
                    </w:rPr>
                  </w:pPr>
                  <w:r>
                    <w:rPr>
                      <w:rFonts w:hint="default" w:ascii="Times New Roman" w:hAnsi="Times New Roman" w:eastAsia="宋体" w:cs="Times New Roman"/>
                      <w:color w:val="000000"/>
                      <w:spacing w:val="0"/>
                      <w:kern w:val="2"/>
                      <w:position w:val="0"/>
                      <w:sz w:val="18"/>
                      <w:szCs w:val="18"/>
                      <w:highlight w:val="none"/>
                      <w:lang w:val="en-US" w:eastAsia="zh-CN" w:bidi="ar-SA"/>
                    </w:rPr>
                    <w:t>C</w:t>
                  </w:r>
                  <w:r>
                    <w:rPr>
                      <w:rFonts w:hint="eastAsia" w:ascii="Times New Roman" w:hAnsi="Times New Roman" w:eastAsia="宋体" w:cs="Times New Roman"/>
                      <w:color w:val="000000"/>
                      <w:spacing w:val="0"/>
                      <w:kern w:val="2"/>
                      <w:position w:val="0"/>
                      <w:sz w:val="18"/>
                      <w:szCs w:val="18"/>
                      <w:highlight w:val="none"/>
                      <w:lang w:val="en-US" w:eastAsia="zh-CN" w:bidi="ar-SA"/>
                    </w:rPr>
                    <w:t>8</w:t>
                  </w:r>
                  <w:r>
                    <w:rPr>
                      <w:rFonts w:hint="default" w:ascii="Times New Roman" w:hAnsi="Times New Roman" w:eastAsia="宋体" w:cs="Times New Roman"/>
                      <w:color w:val="000000"/>
                      <w:spacing w:val="0"/>
                      <w:kern w:val="2"/>
                      <w:position w:val="0"/>
                      <w:sz w:val="18"/>
                      <w:szCs w:val="18"/>
                      <w:highlight w:val="none"/>
                      <w:lang w:val="en-US" w:eastAsia="zh-CN" w:bidi="ar-SA"/>
                    </w:rPr>
                    <w:t>-1</w:t>
                  </w:r>
                  <w:r>
                    <w:rPr>
                      <w:rFonts w:hint="eastAsia" w:ascii="Times New Roman" w:hAnsi="Times New Roman" w:eastAsia="宋体" w:cs="Times New Roman"/>
                      <w:color w:val="000000"/>
                      <w:spacing w:val="0"/>
                      <w:kern w:val="2"/>
                      <w:position w:val="0"/>
                      <w:sz w:val="18"/>
                      <w:szCs w:val="18"/>
                      <w:highlight w:val="none"/>
                      <w:lang w:val="en-US" w:eastAsia="zh-CN" w:bidi="ar-SA"/>
                    </w:rPr>
                    <w:t>区块</w:t>
                  </w:r>
                  <w:r>
                    <w:rPr>
                      <w:rFonts w:hint="default" w:ascii="Times New Roman" w:hAnsi="Times New Roman" w:eastAsia="宋体" w:cs="Times New Roman"/>
                      <w:color w:val="000000"/>
                      <w:spacing w:val="0"/>
                      <w:kern w:val="2"/>
                      <w:position w:val="0"/>
                      <w:sz w:val="18"/>
                      <w:szCs w:val="18"/>
                      <w:highlight w:val="none"/>
                      <w:lang w:val="en-US" w:eastAsia="zh-CN" w:bidi="ar-SA"/>
                    </w:rPr>
                    <w:t>保有饰面用花岗岩矿（探明＋控制+推断）资源量：矿石量226万立方米/荒料量46万立方米</w:t>
                  </w:r>
                  <w:r>
                    <w:rPr>
                      <w:rFonts w:hint="eastAsia" w:ascii="Times New Roman" w:hAnsi="Times New Roman" w:eastAsia="宋体" w:cs="Times New Roman"/>
                      <w:color w:val="000000"/>
                      <w:spacing w:val="0"/>
                      <w:kern w:val="2"/>
                      <w:position w:val="0"/>
                      <w:sz w:val="18"/>
                      <w:szCs w:val="18"/>
                      <w:highlight w:val="none"/>
                      <w:lang w:val="en-US" w:eastAsia="zh-CN" w:bidi="ar-SA"/>
                    </w:rPr>
                    <w:t>；</w:t>
                  </w:r>
                </w:p>
                <w:p w14:paraId="63529AFD">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color w:val="000000"/>
                      <w:spacing w:val="0"/>
                      <w:kern w:val="2"/>
                      <w:position w:val="0"/>
                      <w:sz w:val="18"/>
                      <w:szCs w:val="18"/>
                      <w:highlight w:val="none"/>
                      <w:lang w:val="en-US" w:eastAsia="zh-CN" w:bidi="ar-SA"/>
                    </w:rPr>
                  </w:pPr>
                  <w:r>
                    <w:rPr>
                      <w:rFonts w:hint="default" w:ascii="Times New Roman" w:hAnsi="Times New Roman" w:eastAsia="宋体" w:cs="Times New Roman"/>
                      <w:color w:val="000000"/>
                      <w:spacing w:val="0"/>
                      <w:kern w:val="2"/>
                      <w:position w:val="0"/>
                      <w:sz w:val="18"/>
                      <w:szCs w:val="18"/>
                      <w:highlight w:val="none"/>
                      <w:lang w:val="en-US" w:eastAsia="zh-CN" w:bidi="ar-SA"/>
                    </w:rPr>
                    <w:t>C</w:t>
                  </w:r>
                  <w:r>
                    <w:rPr>
                      <w:rFonts w:hint="eastAsia" w:ascii="Times New Roman" w:hAnsi="Times New Roman" w:eastAsia="宋体" w:cs="Times New Roman"/>
                      <w:color w:val="000000"/>
                      <w:spacing w:val="0"/>
                      <w:kern w:val="2"/>
                      <w:position w:val="0"/>
                      <w:sz w:val="18"/>
                      <w:szCs w:val="18"/>
                      <w:highlight w:val="none"/>
                      <w:lang w:val="en-US" w:eastAsia="zh-CN" w:bidi="ar-SA"/>
                    </w:rPr>
                    <w:t>8</w:t>
                  </w:r>
                  <w:r>
                    <w:rPr>
                      <w:rFonts w:hint="default" w:ascii="Times New Roman" w:hAnsi="Times New Roman" w:eastAsia="宋体" w:cs="Times New Roman"/>
                      <w:color w:val="000000"/>
                      <w:spacing w:val="0"/>
                      <w:kern w:val="2"/>
                      <w:position w:val="0"/>
                      <w:sz w:val="18"/>
                      <w:szCs w:val="18"/>
                      <w:highlight w:val="none"/>
                      <w:lang w:val="en-US" w:eastAsia="zh-CN" w:bidi="ar-SA"/>
                    </w:rPr>
                    <w:t>-2区块保有饰面用花岗岩矿（探明＋控制+推断）资源量：矿石量2876万立方米/荒料量606万立方米；</w:t>
                  </w:r>
                </w:p>
                <w:p w14:paraId="6C319530">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color w:val="000000"/>
                      <w:spacing w:val="0"/>
                      <w:kern w:val="2"/>
                      <w:position w:val="0"/>
                      <w:sz w:val="18"/>
                      <w:szCs w:val="18"/>
                      <w:highlight w:val="none"/>
                      <w:lang w:val="en-US" w:eastAsia="zh-CN" w:bidi="ar-SA"/>
                    </w:rPr>
                  </w:pPr>
                  <w:r>
                    <w:rPr>
                      <w:rFonts w:hint="default" w:ascii="Times New Roman" w:hAnsi="Times New Roman" w:eastAsia="宋体" w:cs="Times New Roman"/>
                      <w:color w:val="000000"/>
                      <w:spacing w:val="0"/>
                      <w:kern w:val="2"/>
                      <w:position w:val="0"/>
                      <w:sz w:val="18"/>
                      <w:szCs w:val="18"/>
                      <w:highlight w:val="none"/>
                      <w:lang w:val="en-US" w:eastAsia="zh-CN" w:bidi="ar-SA"/>
                    </w:rPr>
                    <w:t>C</w:t>
                  </w:r>
                  <w:r>
                    <w:rPr>
                      <w:rFonts w:hint="eastAsia" w:ascii="Times New Roman" w:hAnsi="Times New Roman" w:eastAsia="宋体" w:cs="Times New Roman"/>
                      <w:color w:val="000000"/>
                      <w:spacing w:val="0"/>
                      <w:kern w:val="2"/>
                      <w:position w:val="0"/>
                      <w:sz w:val="18"/>
                      <w:szCs w:val="18"/>
                      <w:highlight w:val="none"/>
                      <w:lang w:val="en-US" w:eastAsia="zh-CN" w:bidi="ar-SA"/>
                    </w:rPr>
                    <w:t>8</w:t>
                  </w:r>
                  <w:r>
                    <w:rPr>
                      <w:rFonts w:hint="default" w:ascii="Times New Roman" w:hAnsi="Times New Roman" w:eastAsia="宋体" w:cs="Times New Roman"/>
                      <w:color w:val="000000"/>
                      <w:spacing w:val="0"/>
                      <w:kern w:val="2"/>
                      <w:position w:val="0"/>
                      <w:sz w:val="18"/>
                      <w:szCs w:val="18"/>
                      <w:highlight w:val="none"/>
                      <w:lang w:val="en-US" w:eastAsia="zh-CN" w:bidi="ar-SA"/>
                    </w:rPr>
                    <w:t>-3区块保有饰面用花岗岩矿（探明＋控制+推断）资源量：矿石量131万立方米/荒料量28万立方米。</w:t>
                  </w:r>
                </w:p>
                <w:p w14:paraId="09EED3F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color w:val="00B0F0"/>
                      <w:sz w:val="18"/>
                      <w:szCs w:val="18"/>
                      <w:highlight w:val="none"/>
                      <w:lang w:val="zh-CN"/>
                    </w:rPr>
                  </w:pPr>
                  <w:r>
                    <w:rPr>
                      <w:rFonts w:hint="default" w:ascii="Times New Roman" w:hAnsi="Times New Roman" w:eastAsia="宋体" w:cs="Times New Roman"/>
                      <w:color w:val="000000"/>
                      <w:spacing w:val="0"/>
                      <w:kern w:val="2"/>
                      <w:position w:val="0"/>
                      <w:sz w:val="18"/>
                      <w:szCs w:val="18"/>
                      <w:highlight w:val="none"/>
                      <w:lang w:val="en-US" w:eastAsia="zh-CN" w:bidi="ar-SA"/>
                    </w:rPr>
                    <w:t>C</w:t>
                  </w:r>
                  <w:r>
                    <w:rPr>
                      <w:rFonts w:hint="eastAsia" w:ascii="Times New Roman" w:hAnsi="Times New Roman" w:eastAsia="宋体" w:cs="Times New Roman"/>
                      <w:color w:val="000000"/>
                      <w:spacing w:val="0"/>
                      <w:kern w:val="2"/>
                      <w:position w:val="0"/>
                      <w:sz w:val="18"/>
                      <w:szCs w:val="18"/>
                      <w:highlight w:val="none"/>
                      <w:lang w:val="en-US" w:eastAsia="zh-CN" w:bidi="ar-SA"/>
                    </w:rPr>
                    <w:t>8</w:t>
                  </w:r>
                  <w:r>
                    <w:rPr>
                      <w:rFonts w:hint="default" w:ascii="Times New Roman" w:hAnsi="Times New Roman" w:eastAsia="宋体" w:cs="Times New Roman"/>
                      <w:color w:val="000000"/>
                      <w:spacing w:val="0"/>
                      <w:kern w:val="2"/>
                      <w:position w:val="0"/>
                      <w:sz w:val="18"/>
                      <w:szCs w:val="18"/>
                      <w:highlight w:val="none"/>
                      <w:lang w:val="en-US" w:eastAsia="zh-CN" w:bidi="ar-SA"/>
                    </w:rPr>
                    <w:t>区块保有饰面用花岗岩矿（探明＋控制+推断）资源量：矿石量3233万立方米/荒料量678万立方米</w:t>
                  </w:r>
                </w:p>
              </w:tc>
              <w:tc>
                <w:tcPr>
                  <w:tcW w:w="3205" w:type="dxa"/>
                  <w:tcBorders>
                    <w:top w:val="single" w:color="auto" w:sz="12" w:space="0"/>
                    <w:bottom w:val="single" w:color="auto" w:sz="4" w:space="0"/>
                  </w:tcBorders>
                  <w:noWrap w:val="0"/>
                  <w:vAlign w:val="center"/>
                </w:tcPr>
                <w:p w14:paraId="14004790">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color w:val="000000"/>
                      <w:highlight w:val="none"/>
                    </w:rPr>
                  </w:pPr>
                  <w:r>
                    <w:rPr>
                      <w:rFonts w:hint="eastAsia" w:ascii="Times New Roman" w:hAnsi="Times New Roman" w:eastAsia="宋体" w:cs="Times New Roman"/>
                      <w:color w:val="000000"/>
                      <w:spacing w:val="0"/>
                      <w:kern w:val="2"/>
                      <w:position w:val="0"/>
                      <w:sz w:val="18"/>
                      <w:szCs w:val="18"/>
                      <w:highlight w:val="none"/>
                      <w:lang w:val="en-US" w:eastAsia="zh-CN" w:bidi="ar-SA"/>
                    </w:rPr>
                    <w:t>C8区块拟申请采矿权范围矿区总</w:t>
                  </w:r>
                  <w:r>
                    <w:rPr>
                      <w:rFonts w:hint="default" w:ascii="Times New Roman" w:hAnsi="Times New Roman" w:eastAsia="宋体" w:cs="Times New Roman"/>
                      <w:color w:val="000000"/>
                      <w:spacing w:val="0"/>
                      <w:kern w:val="2"/>
                      <w:position w:val="0"/>
                      <w:sz w:val="18"/>
                      <w:szCs w:val="18"/>
                      <w:highlight w:val="none"/>
                      <w:lang w:val="en-US" w:eastAsia="zh-CN" w:bidi="ar-SA"/>
                    </w:rPr>
                    <w:t>面积1.5033km</w:t>
                  </w:r>
                  <w:r>
                    <w:rPr>
                      <w:rFonts w:hint="default" w:ascii="Times New Roman" w:hAnsi="Times New Roman" w:eastAsia="宋体" w:cs="Times New Roman"/>
                      <w:color w:val="000000"/>
                      <w:spacing w:val="0"/>
                      <w:kern w:val="2"/>
                      <w:position w:val="0"/>
                      <w:sz w:val="18"/>
                      <w:szCs w:val="18"/>
                      <w:highlight w:val="none"/>
                      <w:vertAlign w:val="superscript"/>
                      <w:lang w:val="en-US" w:eastAsia="zh-CN" w:bidi="ar-SA"/>
                    </w:rPr>
                    <w:t>2</w:t>
                  </w:r>
                  <w:r>
                    <w:rPr>
                      <w:rFonts w:hint="default" w:ascii="Times New Roman" w:hAnsi="Times New Roman" w:eastAsia="宋体" w:cs="Times New Roman"/>
                      <w:color w:val="000000"/>
                      <w:spacing w:val="0"/>
                      <w:kern w:val="2"/>
                      <w:position w:val="0"/>
                      <w:sz w:val="18"/>
                      <w:szCs w:val="18"/>
                      <w:highlight w:val="none"/>
                      <w:lang w:val="en-US" w:eastAsia="zh-CN" w:bidi="ar-SA"/>
                    </w:rPr>
                    <w:t>，C8-1区块</w:t>
                  </w:r>
                  <w:r>
                    <w:rPr>
                      <w:rFonts w:hint="eastAsia" w:ascii="Times New Roman" w:hAnsi="Times New Roman" w:eastAsia="宋体" w:cs="Times New Roman"/>
                      <w:color w:val="000000"/>
                      <w:spacing w:val="0"/>
                      <w:kern w:val="2"/>
                      <w:position w:val="0"/>
                      <w:sz w:val="18"/>
                      <w:szCs w:val="18"/>
                      <w:highlight w:val="none"/>
                      <w:lang w:val="en-US" w:eastAsia="zh-CN" w:bidi="ar-SA"/>
                    </w:rPr>
                    <w:t>资源储量估算最低</w:t>
                  </w:r>
                  <w:r>
                    <w:rPr>
                      <w:rFonts w:hint="default" w:ascii="Times New Roman" w:hAnsi="Times New Roman" w:eastAsia="宋体" w:cs="Times New Roman"/>
                      <w:color w:val="000000"/>
                      <w:spacing w:val="0"/>
                      <w:kern w:val="2"/>
                      <w:position w:val="0"/>
                      <w:sz w:val="18"/>
                      <w:szCs w:val="18"/>
                      <w:highlight w:val="none"/>
                      <w:lang w:val="en-US" w:eastAsia="zh-CN" w:bidi="ar-SA"/>
                    </w:rPr>
                    <w:t>标高为+</w:t>
                  </w:r>
                  <w:r>
                    <w:rPr>
                      <w:rFonts w:hint="eastAsia" w:ascii="Times New Roman" w:hAnsi="Times New Roman" w:eastAsia="宋体" w:cs="Times New Roman"/>
                      <w:color w:val="000000"/>
                      <w:spacing w:val="0"/>
                      <w:kern w:val="2"/>
                      <w:position w:val="0"/>
                      <w:sz w:val="18"/>
                      <w:szCs w:val="18"/>
                      <w:highlight w:val="none"/>
                      <w:lang w:val="en-US" w:eastAsia="zh-CN" w:bidi="ar-SA"/>
                    </w:rPr>
                    <w:t>2</w:t>
                  </w:r>
                  <w:r>
                    <w:rPr>
                      <w:rFonts w:hint="default" w:ascii="Times New Roman" w:hAnsi="Times New Roman" w:eastAsia="宋体" w:cs="Times New Roman"/>
                      <w:color w:val="000000"/>
                      <w:spacing w:val="0"/>
                      <w:kern w:val="2"/>
                      <w:position w:val="0"/>
                      <w:sz w:val="18"/>
                      <w:szCs w:val="18"/>
                      <w:highlight w:val="none"/>
                      <w:lang w:val="en-US" w:eastAsia="zh-CN" w:bidi="ar-SA"/>
                    </w:rPr>
                    <w:t>20m；C8-2区块及C8-3区块资源储量估算最低标高为</w:t>
                  </w:r>
                  <w:r>
                    <w:rPr>
                      <w:rFonts w:hint="default" w:ascii="Times New Roman" w:hAnsi="Times New Roman" w:eastAsia="宋体" w:cs="Times New Roman"/>
                      <w:b w:val="0"/>
                      <w:bCs w:val="0"/>
                      <w:color w:val="000000"/>
                      <w:spacing w:val="6"/>
                      <w:kern w:val="2"/>
                      <w:sz w:val="18"/>
                      <w:szCs w:val="18"/>
                      <w:highlight w:val="none"/>
                      <w:lang w:val="en-US" w:eastAsia="zh-CN" w:bidi="ar-SA"/>
                    </w:rPr>
                    <w:t>+270米</w:t>
                  </w:r>
                  <w:r>
                    <w:rPr>
                      <w:rFonts w:hint="eastAsia" w:ascii="Times New Roman" w:hAnsi="Times New Roman" w:eastAsia="宋体" w:cs="Times New Roman"/>
                      <w:b w:val="0"/>
                      <w:bCs w:val="0"/>
                      <w:color w:val="000000"/>
                      <w:spacing w:val="6"/>
                      <w:kern w:val="2"/>
                      <w:sz w:val="18"/>
                      <w:szCs w:val="18"/>
                      <w:highlight w:val="none"/>
                      <w:lang w:val="en-US" w:eastAsia="zh-CN" w:bidi="ar-SA"/>
                    </w:rPr>
                    <w:t>和+22</w:t>
                  </w:r>
                  <w:r>
                    <w:rPr>
                      <w:rFonts w:hint="default" w:ascii="Times New Roman" w:hAnsi="Times New Roman" w:eastAsia="宋体" w:cs="Times New Roman"/>
                      <w:b w:val="0"/>
                      <w:bCs w:val="0"/>
                      <w:color w:val="000000"/>
                      <w:spacing w:val="6"/>
                      <w:kern w:val="2"/>
                      <w:sz w:val="18"/>
                      <w:szCs w:val="18"/>
                      <w:highlight w:val="none"/>
                      <w:lang w:val="en-US" w:eastAsia="zh-CN" w:bidi="ar-SA"/>
                    </w:rPr>
                    <w:t>0米</w:t>
                  </w:r>
                  <w:r>
                    <w:rPr>
                      <w:rFonts w:hint="eastAsia" w:ascii="Times New Roman" w:hAnsi="Times New Roman" w:eastAsia="宋体" w:cs="Times New Roman"/>
                      <w:color w:val="000000"/>
                      <w:spacing w:val="0"/>
                      <w:kern w:val="2"/>
                      <w:position w:val="0"/>
                      <w:sz w:val="18"/>
                      <w:szCs w:val="18"/>
                      <w:highlight w:val="none"/>
                      <w:lang w:val="en-US" w:eastAsia="zh-CN" w:bidi="ar-SA"/>
                    </w:rPr>
                    <w:t>。</w:t>
                  </w:r>
                </w:p>
                <w:p w14:paraId="0DD41E49">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eastAsia" w:ascii="Times New Roman" w:hAnsi="Times New Roman" w:eastAsia="宋体" w:cs="Times New Roman"/>
                      <w:color w:val="000000"/>
                      <w:spacing w:val="0"/>
                      <w:kern w:val="2"/>
                      <w:position w:val="0"/>
                      <w:sz w:val="18"/>
                      <w:szCs w:val="18"/>
                      <w:highlight w:val="none"/>
                      <w:lang w:val="en-US" w:eastAsia="zh-CN" w:bidi="ar-SA"/>
                    </w:rPr>
                  </w:pPr>
                  <w:r>
                    <w:rPr>
                      <w:rFonts w:hint="default" w:ascii="Times New Roman" w:hAnsi="Times New Roman" w:eastAsia="宋体" w:cs="Times New Roman"/>
                      <w:color w:val="000000"/>
                      <w:spacing w:val="0"/>
                      <w:kern w:val="2"/>
                      <w:position w:val="0"/>
                      <w:sz w:val="18"/>
                      <w:szCs w:val="18"/>
                      <w:highlight w:val="none"/>
                      <w:lang w:val="en-US" w:eastAsia="zh-CN" w:bidi="ar-SA"/>
                    </w:rPr>
                    <w:t>C</w:t>
                  </w:r>
                  <w:r>
                    <w:rPr>
                      <w:rFonts w:hint="eastAsia" w:ascii="Times New Roman" w:hAnsi="Times New Roman" w:eastAsia="宋体" w:cs="Times New Roman"/>
                      <w:color w:val="000000"/>
                      <w:spacing w:val="0"/>
                      <w:kern w:val="2"/>
                      <w:position w:val="0"/>
                      <w:sz w:val="18"/>
                      <w:szCs w:val="18"/>
                      <w:highlight w:val="none"/>
                      <w:lang w:val="en-US" w:eastAsia="zh-CN" w:bidi="ar-SA"/>
                    </w:rPr>
                    <w:t>8</w:t>
                  </w:r>
                  <w:r>
                    <w:rPr>
                      <w:rFonts w:hint="default" w:ascii="Times New Roman" w:hAnsi="Times New Roman" w:eastAsia="宋体" w:cs="Times New Roman"/>
                      <w:color w:val="000000"/>
                      <w:spacing w:val="0"/>
                      <w:kern w:val="2"/>
                      <w:position w:val="0"/>
                      <w:sz w:val="18"/>
                      <w:szCs w:val="18"/>
                      <w:highlight w:val="none"/>
                      <w:lang w:val="en-US" w:eastAsia="zh-CN" w:bidi="ar-SA"/>
                    </w:rPr>
                    <w:t>-1</w:t>
                  </w:r>
                  <w:r>
                    <w:rPr>
                      <w:rFonts w:hint="eastAsia" w:ascii="Times New Roman" w:hAnsi="Times New Roman" w:eastAsia="宋体" w:cs="Times New Roman"/>
                      <w:color w:val="000000"/>
                      <w:spacing w:val="0"/>
                      <w:kern w:val="2"/>
                      <w:position w:val="0"/>
                      <w:sz w:val="18"/>
                      <w:szCs w:val="18"/>
                      <w:highlight w:val="none"/>
                      <w:lang w:val="en-US" w:eastAsia="zh-CN" w:bidi="ar-SA"/>
                    </w:rPr>
                    <w:t>区块</w:t>
                  </w:r>
                  <w:r>
                    <w:rPr>
                      <w:rFonts w:hint="default" w:ascii="Times New Roman" w:hAnsi="Times New Roman" w:eastAsia="宋体" w:cs="Times New Roman"/>
                      <w:color w:val="000000"/>
                      <w:spacing w:val="0"/>
                      <w:kern w:val="2"/>
                      <w:position w:val="0"/>
                      <w:sz w:val="18"/>
                      <w:szCs w:val="18"/>
                      <w:highlight w:val="none"/>
                      <w:lang w:val="en-US" w:eastAsia="zh-CN" w:bidi="ar-SA"/>
                    </w:rPr>
                    <w:t>保有饰面用花岗岩矿（探明＋控制+推断）资源量：矿石量226万立方米/荒料量46万立方米</w:t>
                  </w:r>
                  <w:r>
                    <w:rPr>
                      <w:rFonts w:hint="eastAsia" w:ascii="Times New Roman" w:hAnsi="Times New Roman" w:eastAsia="宋体" w:cs="Times New Roman"/>
                      <w:color w:val="000000"/>
                      <w:spacing w:val="0"/>
                      <w:kern w:val="2"/>
                      <w:position w:val="0"/>
                      <w:sz w:val="18"/>
                      <w:szCs w:val="18"/>
                      <w:highlight w:val="none"/>
                      <w:lang w:val="en-US" w:eastAsia="zh-CN" w:bidi="ar-SA"/>
                    </w:rPr>
                    <w:t>；</w:t>
                  </w:r>
                </w:p>
                <w:p w14:paraId="4FB3B32F">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color w:val="000000"/>
                      <w:spacing w:val="0"/>
                      <w:kern w:val="2"/>
                      <w:position w:val="0"/>
                      <w:sz w:val="18"/>
                      <w:szCs w:val="18"/>
                      <w:highlight w:val="none"/>
                      <w:lang w:val="en-US" w:eastAsia="zh-CN" w:bidi="ar-SA"/>
                    </w:rPr>
                  </w:pPr>
                  <w:r>
                    <w:rPr>
                      <w:rFonts w:hint="default" w:ascii="Times New Roman" w:hAnsi="Times New Roman" w:eastAsia="宋体" w:cs="Times New Roman"/>
                      <w:b/>
                      <w:bCs/>
                      <w:color w:val="000000"/>
                      <w:spacing w:val="0"/>
                      <w:kern w:val="2"/>
                      <w:position w:val="0"/>
                      <w:sz w:val="18"/>
                      <w:szCs w:val="18"/>
                      <w:highlight w:val="none"/>
                      <w:lang w:val="en-US" w:eastAsia="zh-CN" w:bidi="ar-SA"/>
                    </w:rPr>
                    <w:t>C</w:t>
                  </w:r>
                  <w:r>
                    <w:rPr>
                      <w:rFonts w:hint="eastAsia" w:ascii="Times New Roman" w:hAnsi="Times New Roman" w:eastAsia="宋体" w:cs="Times New Roman"/>
                      <w:b/>
                      <w:bCs/>
                      <w:color w:val="000000"/>
                      <w:spacing w:val="0"/>
                      <w:kern w:val="2"/>
                      <w:position w:val="0"/>
                      <w:sz w:val="18"/>
                      <w:szCs w:val="18"/>
                      <w:highlight w:val="none"/>
                      <w:lang w:val="en-US" w:eastAsia="zh-CN" w:bidi="ar-SA"/>
                    </w:rPr>
                    <w:t>8</w:t>
                  </w:r>
                  <w:r>
                    <w:rPr>
                      <w:rFonts w:hint="default" w:ascii="Times New Roman" w:hAnsi="Times New Roman" w:eastAsia="宋体" w:cs="Times New Roman"/>
                      <w:b/>
                      <w:bCs/>
                      <w:color w:val="000000"/>
                      <w:spacing w:val="0"/>
                      <w:kern w:val="2"/>
                      <w:position w:val="0"/>
                      <w:sz w:val="18"/>
                      <w:szCs w:val="18"/>
                      <w:highlight w:val="none"/>
                      <w:lang w:val="en-US" w:eastAsia="zh-CN" w:bidi="ar-SA"/>
                    </w:rPr>
                    <w:t>-2区块保有饰面用花岗岩矿（探明＋控制+推断）资源量：矿石量2876万立方米/荒料量606万立方米；</w:t>
                  </w:r>
                </w:p>
                <w:p w14:paraId="3D3E7BDD">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color w:val="000000"/>
                      <w:spacing w:val="0"/>
                      <w:kern w:val="2"/>
                      <w:position w:val="0"/>
                      <w:sz w:val="18"/>
                      <w:szCs w:val="18"/>
                      <w:highlight w:val="none"/>
                      <w:lang w:val="en-US" w:eastAsia="zh-CN" w:bidi="ar-SA"/>
                    </w:rPr>
                  </w:pPr>
                  <w:r>
                    <w:rPr>
                      <w:rFonts w:hint="default" w:ascii="Times New Roman" w:hAnsi="Times New Roman" w:eastAsia="宋体" w:cs="Times New Roman"/>
                      <w:color w:val="000000"/>
                      <w:spacing w:val="0"/>
                      <w:kern w:val="2"/>
                      <w:position w:val="0"/>
                      <w:sz w:val="18"/>
                      <w:szCs w:val="18"/>
                      <w:highlight w:val="none"/>
                      <w:lang w:val="en-US" w:eastAsia="zh-CN" w:bidi="ar-SA"/>
                    </w:rPr>
                    <w:t>C</w:t>
                  </w:r>
                  <w:r>
                    <w:rPr>
                      <w:rFonts w:hint="eastAsia" w:ascii="Times New Roman" w:hAnsi="Times New Roman" w:eastAsia="宋体" w:cs="Times New Roman"/>
                      <w:color w:val="000000"/>
                      <w:spacing w:val="0"/>
                      <w:kern w:val="2"/>
                      <w:position w:val="0"/>
                      <w:sz w:val="18"/>
                      <w:szCs w:val="18"/>
                      <w:highlight w:val="none"/>
                      <w:lang w:val="en-US" w:eastAsia="zh-CN" w:bidi="ar-SA"/>
                    </w:rPr>
                    <w:t>8</w:t>
                  </w:r>
                  <w:r>
                    <w:rPr>
                      <w:rFonts w:hint="default" w:ascii="Times New Roman" w:hAnsi="Times New Roman" w:eastAsia="宋体" w:cs="Times New Roman"/>
                      <w:color w:val="000000"/>
                      <w:spacing w:val="0"/>
                      <w:kern w:val="2"/>
                      <w:position w:val="0"/>
                      <w:sz w:val="18"/>
                      <w:szCs w:val="18"/>
                      <w:highlight w:val="none"/>
                      <w:lang w:val="en-US" w:eastAsia="zh-CN" w:bidi="ar-SA"/>
                    </w:rPr>
                    <w:t>-3区块保有饰面用花岗岩矿（探明＋控制+推断）资源量：矿石量131万立方米/荒料量28万立方米。</w:t>
                  </w:r>
                </w:p>
                <w:p w14:paraId="7B4FCD3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pacing w:val="0"/>
                      <w:kern w:val="2"/>
                      <w:position w:val="0"/>
                      <w:sz w:val="18"/>
                      <w:szCs w:val="18"/>
                      <w:highlight w:val="none"/>
                      <w:lang w:val="en-US" w:eastAsia="zh-CN" w:bidi="ar-SA"/>
                    </w:rPr>
                    <w:t>C</w:t>
                  </w:r>
                  <w:r>
                    <w:rPr>
                      <w:rFonts w:hint="eastAsia" w:ascii="Times New Roman" w:hAnsi="Times New Roman" w:eastAsia="宋体" w:cs="Times New Roman"/>
                      <w:color w:val="000000"/>
                      <w:spacing w:val="0"/>
                      <w:kern w:val="2"/>
                      <w:position w:val="0"/>
                      <w:sz w:val="18"/>
                      <w:szCs w:val="18"/>
                      <w:highlight w:val="none"/>
                      <w:lang w:val="en-US" w:eastAsia="zh-CN" w:bidi="ar-SA"/>
                    </w:rPr>
                    <w:t>8</w:t>
                  </w:r>
                  <w:r>
                    <w:rPr>
                      <w:rFonts w:hint="default" w:ascii="Times New Roman" w:hAnsi="Times New Roman" w:eastAsia="宋体" w:cs="Times New Roman"/>
                      <w:color w:val="000000"/>
                      <w:spacing w:val="0"/>
                      <w:kern w:val="2"/>
                      <w:position w:val="0"/>
                      <w:sz w:val="18"/>
                      <w:szCs w:val="18"/>
                      <w:highlight w:val="none"/>
                      <w:lang w:val="en-US" w:eastAsia="zh-CN" w:bidi="ar-SA"/>
                    </w:rPr>
                    <w:t>区块保有饰面用花岗岩矿（探明＋控制+推断）资源量：矿石量3233万立方米/荒料量678万立方米</w:t>
                  </w:r>
                </w:p>
              </w:tc>
              <w:tc>
                <w:tcPr>
                  <w:tcW w:w="1125" w:type="dxa"/>
                  <w:vMerge w:val="restart"/>
                  <w:tcBorders>
                    <w:top w:val="single" w:color="auto" w:sz="12" w:space="0"/>
                    <w:tl2br w:val="nil"/>
                    <w:tr2bl w:val="nil"/>
                  </w:tcBorders>
                  <w:noWrap w:val="0"/>
                  <w:vAlign w:val="center"/>
                </w:tcPr>
                <w:p w14:paraId="0201B7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000000"/>
                      <w:spacing w:val="0"/>
                      <w:position w:val="0"/>
                      <w:sz w:val="18"/>
                      <w:szCs w:val="18"/>
                      <w:highlight w:val="none"/>
                      <w:lang w:val="en-US" w:eastAsia="zh-CN"/>
                    </w:rPr>
                  </w:pPr>
                  <w:r>
                    <w:rPr>
                      <w:rFonts w:hint="eastAsia" w:cs="Times New Roman"/>
                      <w:color w:val="000000"/>
                      <w:spacing w:val="0"/>
                      <w:position w:val="0"/>
                      <w:sz w:val="18"/>
                      <w:szCs w:val="18"/>
                      <w:highlight w:val="none"/>
                      <w:lang w:val="en-US" w:eastAsia="zh-CN"/>
                    </w:rPr>
                    <w:t>无变化</w:t>
                  </w:r>
                </w:p>
              </w:tc>
            </w:tr>
            <w:tr w14:paraId="1313C1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5" w:hRule="atLeast"/>
                <w:tblHeader/>
                <w:jc w:val="center"/>
              </w:trPr>
              <w:tc>
                <w:tcPr>
                  <w:tcW w:w="819" w:type="dxa"/>
                  <w:vMerge w:val="continue"/>
                  <w:tcBorders>
                    <w:tl2br w:val="nil"/>
                    <w:tr2bl w:val="nil"/>
                  </w:tcBorders>
                  <w:noWrap w:val="0"/>
                  <w:tcMar>
                    <w:top w:w="57" w:type="dxa"/>
                    <w:left w:w="28" w:type="dxa"/>
                    <w:bottom w:w="57" w:type="dxa"/>
                    <w:right w:w="28" w:type="dxa"/>
                  </w:tcMar>
                  <w:vAlign w:val="center"/>
                </w:tcPr>
                <w:p w14:paraId="671AA88A">
                  <w:pPr>
                    <w:keepNext w:val="0"/>
                    <w:keepLines w:val="0"/>
                    <w:pageBreakBefore w:val="0"/>
                    <w:widowControl w:val="0"/>
                    <w:kinsoku/>
                    <w:wordWrap/>
                    <w:overflowPunct/>
                    <w:topLinePunct w:val="0"/>
                    <w:bidi w:val="0"/>
                    <w:snapToGrid w:val="0"/>
                    <w:spacing w:line="240" w:lineRule="auto"/>
                    <w:ind w:left="0" w:leftChars="0" w:firstLine="0" w:firstLineChars="0"/>
                    <w:textAlignment w:val="auto"/>
                  </w:pPr>
                </w:p>
              </w:tc>
              <w:tc>
                <w:tcPr>
                  <w:tcW w:w="463" w:type="dxa"/>
                  <w:vMerge w:val="continue"/>
                  <w:tcBorders>
                    <w:tl2br w:val="nil"/>
                    <w:tr2bl w:val="nil"/>
                  </w:tcBorders>
                  <w:noWrap w:val="0"/>
                  <w:tcMar>
                    <w:top w:w="57" w:type="dxa"/>
                    <w:left w:w="28" w:type="dxa"/>
                    <w:bottom w:w="57" w:type="dxa"/>
                    <w:right w:w="28" w:type="dxa"/>
                  </w:tcMar>
                  <w:vAlign w:val="center"/>
                </w:tcPr>
                <w:p w14:paraId="4F1E3F1F">
                  <w:pPr>
                    <w:keepNext w:val="0"/>
                    <w:keepLines w:val="0"/>
                    <w:pageBreakBefore w:val="0"/>
                    <w:widowControl w:val="0"/>
                    <w:kinsoku/>
                    <w:wordWrap/>
                    <w:overflowPunct/>
                    <w:topLinePunct w:val="0"/>
                    <w:bidi w:val="0"/>
                    <w:snapToGrid w:val="0"/>
                    <w:spacing w:line="240" w:lineRule="auto"/>
                    <w:ind w:left="0" w:leftChars="0" w:firstLine="0" w:firstLineChars="0"/>
                    <w:textAlignment w:val="auto"/>
                  </w:pPr>
                </w:p>
              </w:tc>
              <w:tc>
                <w:tcPr>
                  <w:tcW w:w="443" w:type="dxa"/>
                  <w:tcBorders>
                    <w:tl2br w:val="nil"/>
                    <w:tr2bl w:val="nil"/>
                  </w:tcBorders>
                  <w:noWrap w:val="0"/>
                  <w:tcMar>
                    <w:top w:w="57" w:type="dxa"/>
                    <w:left w:w="28" w:type="dxa"/>
                    <w:bottom w:w="57" w:type="dxa"/>
                    <w:right w:w="28" w:type="dxa"/>
                  </w:tcMar>
                  <w:vAlign w:val="center"/>
                </w:tcPr>
                <w:p w14:paraId="5CE465C5">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pPr>
                  <w:r>
                    <w:rPr>
                      <w:rFonts w:hint="eastAsia" w:ascii="Times New Roman" w:hAnsi="Times New Roman"/>
                      <w:color w:val="000000"/>
                      <w:sz w:val="18"/>
                      <w:szCs w:val="18"/>
                      <w:highlight w:val="none"/>
                    </w:rPr>
                    <w:t>开采平台</w:t>
                  </w:r>
                </w:p>
              </w:tc>
              <w:tc>
                <w:tcPr>
                  <w:tcW w:w="3444" w:type="dxa"/>
                  <w:tcBorders>
                    <w:top w:val="single" w:color="auto" w:sz="4" w:space="0"/>
                    <w:bottom w:val="single" w:color="auto" w:sz="4" w:space="0"/>
                  </w:tcBorders>
                  <w:noWrap w:val="0"/>
                  <w:vAlign w:val="center"/>
                </w:tcPr>
                <w:p w14:paraId="30045F08">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color w:val="000000"/>
                      <w:spacing w:val="0"/>
                      <w:kern w:val="2"/>
                      <w:position w:val="0"/>
                      <w:sz w:val="18"/>
                      <w:szCs w:val="18"/>
                      <w:highlight w:val="none"/>
                      <w:lang w:val="en-US" w:eastAsia="zh-CN" w:bidi="ar-SA"/>
                    </w:rPr>
                  </w:pPr>
                  <w:r>
                    <w:rPr>
                      <w:rFonts w:hint="default" w:ascii="Times New Roman" w:hAnsi="Times New Roman" w:eastAsia="宋体" w:cs="Times New Roman"/>
                      <w:color w:val="000000"/>
                      <w:spacing w:val="0"/>
                      <w:kern w:val="2"/>
                      <w:position w:val="0"/>
                      <w:sz w:val="18"/>
                      <w:szCs w:val="18"/>
                      <w:highlight w:val="none"/>
                      <w:lang w:val="en-US" w:eastAsia="zh-CN" w:bidi="ar-SA"/>
                    </w:rPr>
                    <w:t>C8拟设矿权内划分为3个采区（近三年过渡阶段为5个采区，其中4个剥离采区、1个生产采区）。</w:t>
                  </w:r>
                </w:p>
                <w:p w14:paraId="314F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color w:val="00B0F0"/>
                      <w:sz w:val="18"/>
                      <w:szCs w:val="18"/>
                      <w:highlight w:val="none"/>
                      <w:lang w:val="zh-CN"/>
                    </w:rPr>
                  </w:pPr>
                  <w:r>
                    <w:rPr>
                      <w:rFonts w:hint="default" w:ascii="Times New Roman" w:hAnsi="Times New Roman" w:eastAsia="宋体" w:cs="Times New Roman"/>
                      <w:color w:val="000000"/>
                      <w:spacing w:val="0"/>
                      <w:kern w:val="2"/>
                      <w:position w:val="0"/>
                      <w:sz w:val="18"/>
                      <w:szCs w:val="18"/>
                      <w:highlight w:val="none"/>
                      <w:lang w:val="en-US" w:eastAsia="zh-CN" w:bidi="ar-SA"/>
                    </w:rPr>
                    <w:t>C8-1首采区位于C8-1区块内中东部，剥离后形成+280m水平开采平台（C8-新1）；C8-2首采区位于区块西北侧及东侧，西北侧首采区标高+380m（C8-新2）、东侧首采标高+400m（C8-新3）；C8-3区块首采区（C8-新4）位于区块中部，首采平台标高+270m。</w:t>
                  </w:r>
                </w:p>
              </w:tc>
              <w:tc>
                <w:tcPr>
                  <w:tcW w:w="3205" w:type="dxa"/>
                  <w:tcBorders>
                    <w:top w:val="single" w:color="auto" w:sz="4" w:space="0"/>
                    <w:bottom w:val="single" w:color="auto" w:sz="4" w:space="0"/>
                  </w:tcBorders>
                  <w:noWrap w:val="0"/>
                  <w:vAlign w:val="center"/>
                </w:tcPr>
                <w:p w14:paraId="14ECC37E">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color w:val="000000"/>
                      <w:spacing w:val="0"/>
                      <w:kern w:val="2"/>
                      <w:position w:val="0"/>
                      <w:sz w:val="18"/>
                      <w:szCs w:val="18"/>
                      <w:highlight w:val="none"/>
                      <w:lang w:val="en-US" w:eastAsia="zh-CN" w:bidi="ar-SA"/>
                    </w:rPr>
                  </w:pPr>
                  <w:r>
                    <w:rPr>
                      <w:rFonts w:hint="default" w:ascii="Times New Roman" w:hAnsi="Times New Roman" w:eastAsia="宋体" w:cs="Times New Roman"/>
                      <w:color w:val="000000"/>
                      <w:spacing w:val="0"/>
                      <w:kern w:val="2"/>
                      <w:position w:val="0"/>
                      <w:sz w:val="18"/>
                      <w:szCs w:val="18"/>
                      <w:highlight w:val="none"/>
                      <w:lang w:val="en-US" w:eastAsia="zh-CN" w:bidi="ar-SA"/>
                    </w:rPr>
                    <w:t>C8拟设矿权内划分为3个采区（近三年过渡阶段为5个采区，其中4个剥离采区、1个生产采区）。</w:t>
                  </w:r>
                </w:p>
                <w:p w14:paraId="08B76C7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color w:val="00B0F0"/>
                      <w:sz w:val="18"/>
                      <w:szCs w:val="18"/>
                      <w:highlight w:val="none"/>
                      <w:lang w:val="zh-CN"/>
                    </w:rPr>
                  </w:pPr>
                  <w:r>
                    <w:rPr>
                      <w:rFonts w:hint="default" w:ascii="Times New Roman" w:hAnsi="Times New Roman" w:eastAsia="宋体" w:cs="Times New Roman"/>
                      <w:color w:val="000000"/>
                      <w:spacing w:val="0"/>
                      <w:kern w:val="2"/>
                      <w:position w:val="0"/>
                      <w:sz w:val="18"/>
                      <w:szCs w:val="18"/>
                      <w:highlight w:val="none"/>
                      <w:lang w:val="en-US" w:eastAsia="zh-CN" w:bidi="ar-SA"/>
                    </w:rPr>
                    <w:t>C8-1首采区位于C8-1区块内中东部，剥离后形成+280m水平开采平台（C8-新1）；C8-2首采区位于区块西北侧及东侧，西北侧首采区标高+380m（C8-新2）、东侧首采标高+400m（C8-新3）；C8-3区块首采区（C8-新4）位于区块中部，首采平台标高+270m。</w:t>
                  </w:r>
                </w:p>
              </w:tc>
              <w:tc>
                <w:tcPr>
                  <w:tcW w:w="1125" w:type="dxa"/>
                  <w:vMerge w:val="continue"/>
                  <w:tcBorders>
                    <w:tl2br w:val="nil"/>
                    <w:tr2bl w:val="nil"/>
                  </w:tcBorders>
                  <w:noWrap w:val="0"/>
                  <w:vAlign w:val="center"/>
                </w:tcPr>
                <w:p w14:paraId="28087314">
                  <w:pPr>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default" w:ascii="Times New Roman" w:hAnsi="Times New Roman" w:eastAsia="宋体" w:cs="Times New Roman"/>
                      <w:color w:val="00B0F0"/>
                      <w:sz w:val="18"/>
                      <w:szCs w:val="18"/>
                      <w:highlight w:val="none"/>
                      <w:lang w:val="zh-CN"/>
                    </w:rPr>
                  </w:pPr>
                </w:p>
              </w:tc>
            </w:tr>
            <w:tr w14:paraId="2A35E1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5" w:hRule="atLeast"/>
                <w:tblHeader/>
                <w:jc w:val="center"/>
              </w:trPr>
              <w:tc>
                <w:tcPr>
                  <w:tcW w:w="819" w:type="dxa"/>
                  <w:vMerge w:val="continue"/>
                  <w:tcBorders>
                    <w:tl2br w:val="nil"/>
                    <w:tr2bl w:val="nil"/>
                  </w:tcBorders>
                  <w:noWrap w:val="0"/>
                  <w:tcMar>
                    <w:top w:w="57" w:type="dxa"/>
                    <w:left w:w="28" w:type="dxa"/>
                    <w:bottom w:w="57" w:type="dxa"/>
                    <w:right w:w="28" w:type="dxa"/>
                  </w:tcMar>
                  <w:vAlign w:val="center"/>
                </w:tcPr>
                <w:p w14:paraId="79F7387B">
                  <w:pPr>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default" w:ascii="Times New Roman" w:hAnsi="Times New Roman" w:eastAsia="宋体" w:cs="Times New Roman"/>
                      <w:color w:val="00B0F0"/>
                      <w:sz w:val="18"/>
                      <w:szCs w:val="18"/>
                      <w:highlight w:val="none"/>
                      <w:lang w:val="zh-CN"/>
                    </w:rPr>
                  </w:pPr>
                </w:p>
              </w:tc>
              <w:tc>
                <w:tcPr>
                  <w:tcW w:w="463" w:type="dxa"/>
                  <w:vMerge w:val="continue"/>
                  <w:tcBorders>
                    <w:tl2br w:val="nil"/>
                    <w:tr2bl w:val="nil"/>
                  </w:tcBorders>
                  <w:noWrap w:val="0"/>
                  <w:tcMar>
                    <w:top w:w="57" w:type="dxa"/>
                    <w:left w:w="28" w:type="dxa"/>
                    <w:bottom w:w="57" w:type="dxa"/>
                    <w:right w:w="28" w:type="dxa"/>
                  </w:tcMar>
                  <w:vAlign w:val="center"/>
                </w:tcPr>
                <w:p w14:paraId="01D124CB">
                  <w:pPr>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default" w:ascii="Times New Roman" w:hAnsi="Times New Roman" w:eastAsia="宋体" w:cs="Times New Roman"/>
                      <w:color w:val="00B0F0"/>
                      <w:sz w:val="18"/>
                      <w:szCs w:val="18"/>
                      <w:highlight w:val="none"/>
                      <w:lang w:val="zh-CN"/>
                    </w:rPr>
                  </w:pPr>
                </w:p>
              </w:tc>
              <w:tc>
                <w:tcPr>
                  <w:tcW w:w="443" w:type="dxa"/>
                  <w:tcBorders>
                    <w:tl2br w:val="nil"/>
                    <w:tr2bl w:val="nil"/>
                  </w:tcBorders>
                  <w:noWrap w:val="0"/>
                  <w:tcMar>
                    <w:top w:w="57" w:type="dxa"/>
                    <w:left w:w="28" w:type="dxa"/>
                    <w:bottom w:w="57" w:type="dxa"/>
                    <w:right w:w="28" w:type="dxa"/>
                  </w:tcMar>
                  <w:vAlign w:val="center"/>
                </w:tcPr>
                <w:p w14:paraId="1EA19AD8">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color w:val="00B0F0"/>
                      <w:sz w:val="18"/>
                      <w:szCs w:val="18"/>
                      <w:highlight w:val="none"/>
                      <w:lang w:val="zh-CN"/>
                    </w:rPr>
                  </w:pPr>
                  <w:r>
                    <w:rPr>
                      <w:rFonts w:hint="eastAsia" w:ascii="Times New Roman" w:hAnsi="Times New Roman"/>
                      <w:color w:val="000000"/>
                      <w:sz w:val="18"/>
                      <w:szCs w:val="18"/>
                      <w:highlight w:val="none"/>
                    </w:rPr>
                    <w:t>开采方式</w:t>
                  </w:r>
                </w:p>
              </w:tc>
              <w:tc>
                <w:tcPr>
                  <w:tcW w:w="3444" w:type="dxa"/>
                  <w:tcBorders>
                    <w:top w:val="single" w:color="auto" w:sz="4" w:space="0"/>
                  </w:tcBorders>
                  <w:noWrap w:val="0"/>
                  <w:vAlign w:val="center"/>
                </w:tcPr>
                <w:p w14:paraId="47BD8B1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default" w:ascii="Times New Roman" w:hAnsi="Times New Roman" w:eastAsia="宋体" w:cs="Times New Roman"/>
                      <w:color w:val="00B0F0"/>
                      <w:sz w:val="18"/>
                      <w:szCs w:val="18"/>
                      <w:highlight w:val="none"/>
                      <w:lang w:val="zh-CN"/>
                    </w:rPr>
                  </w:pPr>
                  <w:r>
                    <w:rPr>
                      <w:rFonts w:hint="eastAsia" w:ascii="Times New Roman" w:hAnsi="Times New Roman"/>
                      <w:color w:val="000000"/>
                      <w:spacing w:val="0"/>
                      <w:position w:val="0"/>
                      <w:sz w:val="18"/>
                      <w:szCs w:val="18"/>
                      <w:highlight w:val="none"/>
                    </w:rPr>
                    <w:t>采用</w:t>
                  </w:r>
                  <w:r>
                    <w:rPr>
                      <w:rFonts w:ascii="Times New Roman" w:hAnsi="Times New Roman"/>
                      <w:color w:val="000000"/>
                      <w:spacing w:val="0"/>
                      <w:position w:val="0"/>
                      <w:sz w:val="18"/>
                      <w:szCs w:val="18"/>
                      <w:highlight w:val="none"/>
                    </w:rPr>
                    <w:t>露天台阶开采</w:t>
                  </w:r>
                  <w:r>
                    <w:rPr>
                      <w:rFonts w:hint="eastAsia" w:ascii="Times New Roman" w:hAnsi="Times New Roman"/>
                      <w:color w:val="000000"/>
                      <w:spacing w:val="0"/>
                      <w:position w:val="0"/>
                      <w:sz w:val="18"/>
                      <w:szCs w:val="18"/>
                      <w:highlight w:val="none"/>
                      <w:lang w:eastAsia="zh-CN"/>
                    </w:rPr>
                    <w:t>，</w:t>
                  </w:r>
                  <w:r>
                    <w:rPr>
                      <w:rFonts w:hint="eastAsia" w:ascii="Times New Roman" w:hAnsi="Times New Roman"/>
                      <w:color w:val="000000"/>
                      <w:spacing w:val="0"/>
                      <w:position w:val="0"/>
                      <w:sz w:val="18"/>
                      <w:szCs w:val="18"/>
                      <w:highlight w:val="none"/>
                    </w:rPr>
                    <w:t>开采工艺流程为“覆盖层剥离→荒料切割→荒料分离→荒料整形→荒料吊装→荒料运输”</w:t>
                  </w:r>
                  <w:r>
                    <w:rPr>
                      <w:rFonts w:hint="eastAsia" w:ascii="Times New Roman" w:hAnsi="Times New Roman"/>
                      <w:color w:val="000000"/>
                      <w:spacing w:val="0"/>
                      <w:position w:val="0"/>
                      <w:sz w:val="18"/>
                      <w:szCs w:val="18"/>
                      <w:highlight w:val="none"/>
                      <w:lang w:eastAsia="zh-CN"/>
                    </w:rPr>
                    <w:t>，工艺过程为“湿法作业”</w:t>
                  </w:r>
                  <w:r>
                    <w:rPr>
                      <w:rFonts w:hint="eastAsia" w:ascii="Times New Roman" w:hAnsi="Times New Roman"/>
                      <w:color w:val="000000"/>
                      <w:spacing w:val="0"/>
                      <w:position w:val="0"/>
                      <w:sz w:val="18"/>
                      <w:szCs w:val="18"/>
                      <w:highlight w:val="none"/>
                    </w:rPr>
                    <w:t>。</w:t>
                  </w:r>
                </w:p>
              </w:tc>
              <w:tc>
                <w:tcPr>
                  <w:tcW w:w="3205" w:type="dxa"/>
                  <w:tcBorders>
                    <w:top w:val="single" w:color="auto" w:sz="4" w:space="0"/>
                  </w:tcBorders>
                  <w:noWrap w:val="0"/>
                  <w:vAlign w:val="center"/>
                </w:tcPr>
                <w:p w14:paraId="7EB6E9E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default" w:ascii="Times New Roman" w:hAnsi="Times New Roman" w:eastAsia="宋体" w:cs="Times New Roman"/>
                      <w:color w:val="00B0F0"/>
                      <w:sz w:val="18"/>
                      <w:szCs w:val="18"/>
                      <w:highlight w:val="none"/>
                      <w:lang w:val="zh-CN"/>
                    </w:rPr>
                  </w:pPr>
                  <w:r>
                    <w:rPr>
                      <w:rFonts w:hint="eastAsia" w:ascii="Times New Roman" w:hAnsi="Times New Roman"/>
                      <w:color w:val="000000"/>
                      <w:spacing w:val="0"/>
                      <w:position w:val="0"/>
                      <w:sz w:val="18"/>
                      <w:szCs w:val="18"/>
                      <w:highlight w:val="none"/>
                    </w:rPr>
                    <w:t>采用</w:t>
                  </w:r>
                  <w:r>
                    <w:rPr>
                      <w:rFonts w:ascii="Times New Roman" w:hAnsi="Times New Roman"/>
                      <w:color w:val="000000"/>
                      <w:spacing w:val="0"/>
                      <w:position w:val="0"/>
                      <w:sz w:val="18"/>
                      <w:szCs w:val="18"/>
                      <w:highlight w:val="none"/>
                    </w:rPr>
                    <w:t>露天台阶开采</w:t>
                  </w:r>
                  <w:r>
                    <w:rPr>
                      <w:rFonts w:hint="eastAsia" w:ascii="Times New Roman" w:hAnsi="Times New Roman"/>
                      <w:color w:val="000000"/>
                      <w:spacing w:val="0"/>
                      <w:position w:val="0"/>
                      <w:sz w:val="18"/>
                      <w:szCs w:val="18"/>
                      <w:highlight w:val="none"/>
                      <w:lang w:eastAsia="zh-CN"/>
                    </w:rPr>
                    <w:t>，</w:t>
                  </w:r>
                  <w:r>
                    <w:rPr>
                      <w:rFonts w:hint="eastAsia" w:ascii="Times New Roman" w:hAnsi="Times New Roman"/>
                      <w:color w:val="000000"/>
                      <w:spacing w:val="0"/>
                      <w:position w:val="0"/>
                      <w:sz w:val="18"/>
                      <w:szCs w:val="18"/>
                      <w:highlight w:val="none"/>
                    </w:rPr>
                    <w:t>开采工艺流程为“覆盖层剥离→荒料切割→荒料分离→荒料整形→荒料吊装→荒料运输”</w:t>
                  </w:r>
                  <w:r>
                    <w:rPr>
                      <w:rFonts w:hint="eastAsia" w:ascii="Times New Roman" w:hAnsi="Times New Roman"/>
                      <w:color w:val="000000"/>
                      <w:spacing w:val="0"/>
                      <w:position w:val="0"/>
                      <w:sz w:val="18"/>
                      <w:szCs w:val="18"/>
                      <w:highlight w:val="none"/>
                      <w:lang w:eastAsia="zh-CN"/>
                    </w:rPr>
                    <w:t>，工艺过程为“湿法作业”</w:t>
                  </w:r>
                  <w:r>
                    <w:rPr>
                      <w:rFonts w:hint="eastAsia" w:ascii="Times New Roman" w:hAnsi="Times New Roman"/>
                      <w:color w:val="000000"/>
                      <w:spacing w:val="0"/>
                      <w:position w:val="0"/>
                      <w:sz w:val="18"/>
                      <w:szCs w:val="18"/>
                      <w:highlight w:val="none"/>
                    </w:rPr>
                    <w:t>。</w:t>
                  </w:r>
                </w:p>
              </w:tc>
              <w:tc>
                <w:tcPr>
                  <w:tcW w:w="1125" w:type="dxa"/>
                  <w:vMerge w:val="continue"/>
                  <w:tcBorders>
                    <w:tl2br w:val="nil"/>
                    <w:tr2bl w:val="nil"/>
                  </w:tcBorders>
                  <w:noWrap w:val="0"/>
                  <w:vAlign w:val="center"/>
                </w:tcPr>
                <w:p w14:paraId="08AA93D4">
                  <w:pPr>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default" w:ascii="Times New Roman" w:hAnsi="Times New Roman" w:eastAsia="宋体" w:cs="Times New Roman"/>
                      <w:color w:val="00B0F0"/>
                      <w:sz w:val="18"/>
                      <w:szCs w:val="18"/>
                      <w:highlight w:val="none"/>
                      <w:lang w:val="zh-CN"/>
                    </w:rPr>
                  </w:pPr>
                </w:p>
              </w:tc>
            </w:tr>
            <w:tr w14:paraId="02923C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vMerge w:val="restart"/>
                  <w:tcBorders>
                    <w:tl2br w:val="nil"/>
                    <w:tr2bl w:val="nil"/>
                  </w:tcBorders>
                  <w:noWrap w:val="0"/>
                  <w:tcMar>
                    <w:top w:w="57" w:type="dxa"/>
                    <w:left w:w="28" w:type="dxa"/>
                    <w:bottom w:w="57" w:type="dxa"/>
                    <w:right w:w="28" w:type="dxa"/>
                  </w:tcMar>
                  <w:vAlign w:val="center"/>
                </w:tcPr>
                <w:p w14:paraId="2AEBE0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000000"/>
                      <w:sz w:val="18"/>
                      <w:szCs w:val="18"/>
                      <w:highlight w:val="yellow"/>
                    </w:rPr>
                  </w:pPr>
                  <w:r>
                    <w:rPr>
                      <w:rFonts w:hint="default" w:ascii="Times New Roman" w:hAnsi="Times New Roman" w:eastAsia="宋体" w:cs="Times New Roman"/>
                      <w:sz w:val="18"/>
                      <w:szCs w:val="18"/>
                      <w:highlight w:val="none"/>
                    </w:rPr>
                    <w:t>辅助工程</w:t>
                  </w:r>
                </w:p>
              </w:tc>
              <w:tc>
                <w:tcPr>
                  <w:tcW w:w="906" w:type="dxa"/>
                  <w:gridSpan w:val="2"/>
                  <w:tcBorders>
                    <w:tl2br w:val="nil"/>
                    <w:tr2bl w:val="nil"/>
                  </w:tcBorders>
                  <w:noWrap w:val="0"/>
                  <w:tcMar>
                    <w:top w:w="57" w:type="dxa"/>
                    <w:left w:w="28" w:type="dxa"/>
                    <w:bottom w:w="57" w:type="dxa"/>
                    <w:right w:w="28" w:type="dxa"/>
                  </w:tcMar>
                  <w:vAlign w:val="center"/>
                </w:tcPr>
                <w:p w14:paraId="331F35C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sz w:val="18"/>
                      <w:szCs w:val="18"/>
                      <w:highlight w:val="none"/>
                    </w:rPr>
                    <w:t>办公生活区</w:t>
                  </w:r>
                </w:p>
              </w:tc>
              <w:tc>
                <w:tcPr>
                  <w:tcW w:w="3444" w:type="dxa"/>
                  <w:tcBorders>
                    <w:tl2br w:val="nil"/>
                    <w:tr2bl w:val="nil"/>
                  </w:tcBorders>
                  <w:noWrap w:val="0"/>
                  <w:vAlign w:val="center"/>
                </w:tcPr>
                <w:p w14:paraId="73E17F2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eastAsia" w:ascii="Times New Roman" w:hAnsi="Times New Roman" w:eastAsia="宋体" w:cs="Times New Roman"/>
                      <w:color w:val="00B0F0"/>
                      <w:sz w:val="18"/>
                      <w:szCs w:val="18"/>
                      <w:highlight w:val="none"/>
                      <w:lang w:val="zh-CN" w:eastAsia="zh-CN"/>
                    </w:rPr>
                  </w:pPr>
                  <w:r>
                    <w:rPr>
                      <w:rFonts w:hint="eastAsia" w:ascii="Times New Roman" w:hAnsi="Times New Roman" w:eastAsia="宋体" w:cs="Times New Roman"/>
                      <w:color w:val="000000"/>
                      <w:kern w:val="0"/>
                      <w:sz w:val="18"/>
                      <w:szCs w:val="18"/>
                      <w:highlight w:val="none"/>
                      <w:lang w:val="en-US" w:eastAsia="zh-CN" w:bidi="ar"/>
                    </w:rPr>
                    <w:t>5</w:t>
                  </w:r>
                  <w:r>
                    <w:rPr>
                      <w:rFonts w:hint="default" w:ascii="Times New Roman" w:hAnsi="Times New Roman" w:eastAsia="宋体" w:cs="Times New Roman"/>
                      <w:color w:val="000000"/>
                      <w:kern w:val="0"/>
                      <w:sz w:val="18"/>
                      <w:szCs w:val="18"/>
                      <w:highlight w:val="none"/>
                      <w:lang w:val="en-US" w:eastAsia="zh-CN" w:bidi="ar"/>
                    </w:rPr>
                    <w:t>处辅助生产区主要包括办公生活区、检修车间及其他设施</w:t>
                  </w:r>
                  <w:r>
                    <w:rPr>
                      <w:rFonts w:hint="eastAsia" w:ascii="Times New Roman" w:hAnsi="Times New Roman" w:eastAsia="宋体" w:cs="Times New Roman"/>
                      <w:color w:val="000000"/>
                      <w:kern w:val="0"/>
                      <w:sz w:val="18"/>
                      <w:szCs w:val="18"/>
                      <w:highlight w:val="none"/>
                      <w:lang w:val="en-US" w:eastAsia="zh-CN" w:bidi="ar"/>
                    </w:rPr>
                    <w:t>。C8-1区块西侧设置两处，C8-2区块南侧设置2处，C8-3西侧设置1处</w:t>
                  </w:r>
                  <w:r>
                    <w:rPr>
                      <w:rFonts w:hint="default" w:ascii="Times New Roman" w:hAnsi="Times New Roman" w:eastAsia="宋体" w:cs="Times New Roman"/>
                      <w:color w:val="000000"/>
                      <w:kern w:val="0"/>
                      <w:sz w:val="18"/>
                      <w:szCs w:val="18"/>
                      <w:highlight w:val="none"/>
                      <w:lang w:val="en-US" w:eastAsia="zh-CN" w:bidi="ar"/>
                    </w:rPr>
                    <w:t>辅助生产区</w:t>
                  </w:r>
                  <w:r>
                    <w:rPr>
                      <w:rFonts w:hint="eastAsia" w:ascii="Times New Roman" w:hAnsi="Times New Roman" w:eastAsia="宋体" w:cs="Times New Roman"/>
                      <w:color w:val="000000"/>
                      <w:kern w:val="0"/>
                      <w:sz w:val="18"/>
                      <w:szCs w:val="18"/>
                      <w:highlight w:val="none"/>
                      <w:lang w:val="en-US" w:eastAsia="zh-CN" w:bidi="ar"/>
                    </w:rPr>
                    <w:t>。构筑物总面</w:t>
                  </w:r>
                  <w:r>
                    <w:rPr>
                      <w:rFonts w:hint="eastAsia" w:ascii="Times New Roman" w:hAnsi="Times New Roman" w:eastAsia="宋体" w:cs="Times New Roman"/>
                      <w:color w:val="000000"/>
                      <w:spacing w:val="0"/>
                      <w:kern w:val="2"/>
                      <w:position w:val="0"/>
                      <w:sz w:val="18"/>
                      <w:szCs w:val="18"/>
                      <w:highlight w:val="none"/>
                      <w:lang w:val="en-US" w:eastAsia="zh-CN" w:bidi="ar-SA"/>
                    </w:rPr>
                    <w:t>积</w:t>
                  </w:r>
                  <w:r>
                    <w:rPr>
                      <w:rFonts w:hint="default" w:ascii="Times New Roman" w:hAnsi="Times New Roman" w:eastAsia="宋体" w:cs="Times New Roman"/>
                      <w:color w:val="000000"/>
                      <w:spacing w:val="0"/>
                      <w:kern w:val="2"/>
                      <w:position w:val="0"/>
                      <w:sz w:val="18"/>
                      <w:szCs w:val="18"/>
                      <w:highlight w:val="none"/>
                      <w:lang w:val="en-US" w:eastAsia="zh-CN" w:bidi="ar-SA"/>
                    </w:rPr>
                    <w:t>3450m</w:t>
                  </w:r>
                  <w:r>
                    <w:rPr>
                      <w:rFonts w:hint="default" w:ascii="Times New Roman" w:hAnsi="Times New Roman" w:eastAsia="宋体" w:cs="Times New Roman"/>
                      <w:color w:val="000000"/>
                      <w:spacing w:val="0"/>
                      <w:kern w:val="2"/>
                      <w:position w:val="0"/>
                      <w:sz w:val="18"/>
                      <w:szCs w:val="18"/>
                      <w:highlight w:val="none"/>
                      <w:vertAlign w:val="superscript"/>
                      <w:lang w:val="en-US" w:eastAsia="zh-CN" w:bidi="ar-SA"/>
                    </w:rPr>
                    <w:t>2</w:t>
                  </w:r>
                </w:p>
              </w:tc>
              <w:tc>
                <w:tcPr>
                  <w:tcW w:w="3205" w:type="dxa"/>
                  <w:tcBorders>
                    <w:tl2br w:val="nil"/>
                    <w:tr2bl w:val="nil"/>
                  </w:tcBorders>
                  <w:noWrap w:val="0"/>
                  <w:vAlign w:val="center"/>
                </w:tcPr>
                <w:p w14:paraId="26A0E7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color w:val="000000"/>
                      <w:sz w:val="18"/>
                      <w:szCs w:val="18"/>
                      <w:highlight w:val="none"/>
                      <w:lang w:eastAsia="zh-CN"/>
                    </w:rPr>
                  </w:pPr>
                  <w:r>
                    <w:rPr>
                      <w:rFonts w:hint="eastAsia" w:ascii="Times New Roman" w:hAnsi="Times New Roman" w:eastAsia="宋体" w:cs="Times New Roman"/>
                      <w:color w:val="000000"/>
                      <w:kern w:val="0"/>
                      <w:sz w:val="18"/>
                      <w:szCs w:val="18"/>
                      <w:highlight w:val="none"/>
                      <w:lang w:val="en-US" w:eastAsia="zh-CN" w:bidi="ar"/>
                    </w:rPr>
                    <w:t>5</w:t>
                  </w:r>
                  <w:r>
                    <w:rPr>
                      <w:rFonts w:hint="default" w:ascii="Times New Roman" w:hAnsi="Times New Roman" w:eastAsia="宋体" w:cs="Times New Roman"/>
                      <w:color w:val="000000"/>
                      <w:kern w:val="0"/>
                      <w:sz w:val="18"/>
                      <w:szCs w:val="18"/>
                      <w:highlight w:val="none"/>
                      <w:lang w:val="en-US" w:eastAsia="zh-CN" w:bidi="ar"/>
                    </w:rPr>
                    <w:t>处辅助生产区主要包括办公生活区、检修车间及其他设施</w:t>
                  </w:r>
                  <w:r>
                    <w:rPr>
                      <w:rFonts w:hint="eastAsia" w:ascii="Times New Roman" w:hAnsi="Times New Roman" w:eastAsia="宋体" w:cs="Times New Roman"/>
                      <w:color w:val="000000"/>
                      <w:kern w:val="0"/>
                      <w:sz w:val="18"/>
                      <w:szCs w:val="18"/>
                      <w:highlight w:val="none"/>
                      <w:lang w:val="en-US" w:eastAsia="zh-CN" w:bidi="ar"/>
                    </w:rPr>
                    <w:t>。C8-1区块西侧设置两处，C8-2区块南侧设置2处，C8-3西侧设置1处</w:t>
                  </w:r>
                  <w:r>
                    <w:rPr>
                      <w:rFonts w:hint="default" w:ascii="Times New Roman" w:hAnsi="Times New Roman" w:eastAsia="宋体" w:cs="Times New Roman"/>
                      <w:color w:val="000000"/>
                      <w:kern w:val="0"/>
                      <w:sz w:val="18"/>
                      <w:szCs w:val="18"/>
                      <w:highlight w:val="none"/>
                      <w:lang w:val="en-US" w:eastAsia="zh-CN" w:bidi="ar"/>
                    </w:rPr>
                    <w:t>辅助生产区</w:t>
                  </w:r>
                  <w:r>
                    <w:rPr>
                      <w:rFonts w:hint="eastAsia" w:ascii="Times New Roman" w:hAnsi="Times New Roman" w:eastAsia="宋体" w:cs="Times New Roman"/>
                      <w:color w:val="000000"/>
                      <w:kern w:val="0"/>
                      <w:sz w:val="18"/>
                      <w:szCs w:val="18"/>
                      <w:highlight w:val="none"/>
                      <w:lang w:val="en-US" w:eastAsia="zh-CN" w:bidi="ar"/>
                    </w:rPr>
                    <w:t>。构筑物总面</w:t>
                  </w:r>
                  <w:r>
                    <w:rPr>
                      <w:rFonts w:hint="eastAsia" w:ascii="Times New Roman" w:hAnsi="Times New Roman" w:eastAsia="宋体" w:cs="Times New Roman"/>
                      <w:color w:val="000000"/>
                      <w:spacing w:val="0"/>
                      <w:kern w:val="2"/>
                      <w:position w:val="0"/>
                      <w:sz w:val="18"/>
                      <w:szCs w:val="18"/>
                      <w:highlight w:val="none"/>
                      <w:lang w:val="en-US" w:eastAsia="zh-CN" w:bidi="ar-SA"/>
                    </w:rPr>
                    <w:t>积</w:t>
                  </w:r>
                  <w:r>
                    <w:rPr>
                      <w:rFonts w:hint="default" w:ascii="Times New Roman" w:hAnsi="Times New Roman" w:eastAsia="宋体" w:cs="Times New Roman"/>
                      <w:color w:val="000000"/>
                      <w:spacing w:val="0"/>
                      <w:kern w:val="2"/>
                      <w:position w:val="0"/>
                      <w:sz w:val="18"/>
                      <w:szCs w:val="18"/>
                      <w:highlight w:val="none"/>
                      <w:lang w:val="en-US" w:eastAsia="zh-CN" w:bidi="ar-SA"/>
                    </w:rPr>
                    <w:t>3450m</w:t>
                  </w:r>
                  <w:r>
                    <w:rPr>
                      <w:rFonts w:hint="default" w:ascii="Times New Roman" w:hAnsi="Times New Roman" w:eastAsia="宋体" w:cs="Times New Roman"/>
                      <w:color w:val="000000"/>
                      <w:spacing w:val="0"/>
                      <w:kern w:val="2"/>
                      <w:position w:val="0"/>
                      <w:sz w:val="18"/>
                      <w:szCs w:val="18"/>
                      <w:highlight w:val="none"/>
                      <w:vertAlign w:val="superscript"/>
                      <w:lang w:val="en-US" w:eastAsia="zh-CN" w:bidi="ar-SA"/>
                    </w:rPr>
                    <w:t>2</w:t>
                  </w:r>
                </w:p>
              </w:tc>
              <w:tc>
                <w:tcPr>
                  <w:tcW w:w="1125" w:type="dxa"/>
                  <w:tcBorders>
                    <w:tl2br w:val="nil"/>
                    <w:tr2bl w:val="nil"/>
                  </w:tcBorders>
                  <w:noWrap w:val="0"/>
                  <w:vAlign w:val="center"/>
                </w:tcPr>
                <w:p w14:paraId="2458D1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000000"/>
                      <w:sz w:val="18"/>
                      <w:szCs w:val="18"/>
                      <w:highlight w:val="none"/>
                      <w:lang w:eastAsia="zh-CN"/>
                    </w:rPr>
                  </w:pPr>
                  <w:r>
                    <w:rPr>
                      <w:rFonts w:hint="eastAsia" w:cs="Times New Roman"/>
                      <w:color w:val="000000"/>
                      <w:spacing w:val="0"/>
                      <w:position w:val="0"/>
                      <w:sz w:val="18"/>
                      <w:szCs w:val="18"/>
                      <w:highlight w:val="none"/>
                      <w:lang w:val="en-US" w:eastAsia="zh-CN"/>
                    </w:rPr>
                    <w:t>无变化</w:t>
                  </w:r>
                </w:p>
              </w:tc>
            </w:tr>
            <w:tr w14:paraId="0BEFF1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vMerge w:val="continue"/>
                  <w:tcBorders>
                    <w:tl2br w:val="nil"/>
                    <w:tr2bl w:val="nil"/>
                  </w:tcBorders>
                  <w:noWrap w:val="0"/>
                  <w:tcMar>
                    <w:top w:w="57" w:type="dxa"/>
                    <w:left w:w="28" w:type="dxa"/>
                    <w:bottom w:w="57" w:type="dxa"/>
                    <w:right w:w="28" w:type="dxa"/>
                  </w:tcMar>
                  <w:vAlign w:val="center"/>
                </w:tcPr>
                <w:p w14:paraId="5F2936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yellow"/>
                    </w:rPr>
                  </w:pPr>
                </w:p>
              </w:tc>
              <w:tc>
                <w:tcPr>
                  <w:tcW w:w="906" w:type="dxa"/>
                  <w:gridSpan w:val="2"/>
                  <w:tcBorders>
                    <w:tl2br w:val="nil"/>
                    <w:tr2bl w:val="nil"/>
                  </w:tcBorders>
                  <w:noWrap w:val="0"/>
                  <w:tcMar>
                    <w:top w:w="57" w:type="dxa"/>
                    <w:left w:w="28" w:type="dxa"/>
                    <w:bottom w:w="57" w:type="dxa"/>
                    <w:right w:w="28" w:type="dxa"/>
                  </w:tcMar>
                  <w:vAlign w:val="center"/>
                </w:tcPr>
                <w:p w14:paraId="689FE9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矿区道路</w:t>
                  </w:r>
                </w:p>
              </w:tc>
              <w:tc>
                <w:tcPr>
                  <w:tcW w:w="3444" w:type="dxa"/>
                  <w:tcBorders>
                    <w:tl2br w:val="nil"/>
                    <w:tr2bl w:val="nil"/>
                  </w:tcBorders>
                  <w:noWrap w:val="0"/>
                  <w:vAlign w:val="center"/>
                </w:tcPr>
                <w:p w14:paraId="5CC1A0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eastAsia" w:ascii="Times New Roman" w:hAnsi="Times New Roman" w:eastAsia="宋体" w:cs="Times New Roman"/>
                      <w:sz w:val="18"/>
                      <w:szCs w:val="18"/>
                      <w:highlight w:val="none"/>
                      <w:vertAlign w:val="baseline"/>
                      <w:lang w:eastAsia="zh-CN"/>
                    </w:rPr>
                  </w:pPr>
                  <w:r>
                    <w:rPr>
                      <w:rFonts w:hint="eastAsia" w:ascii="Times New Roman" w:hAnsi="Times New Roman" w:eastAsia="宋体" w:cs="Times New Roman"/>
                      <w:color w:val="000000"/>
                      <w:sz w:val="18"/>
                      <w:szCs w:val="18"/>
                      <w:highlight w:val="none"/>
                      <w:lang w:val="en-US" w:eastAsia="zh-CN"/>
                    </w:rPr>
                    <w:t>C8区块现有3#和5#公路，新建公路采用二级矿山道路，单车道路面宽度</w:t>
                  </w:r>
                  <w:r>
                    <w:rPr>
                      <w:rFonts w:hint="default" w:ascii="Times New Roman" w:hAnsi="Times New Roman" w:eastAsia="宋体" w:cs="Times New Roman"/>
                      <w:color w:val="000000"/>
                      <w:sz w:val="18"/>
                      <w:szCs w:val="18"/>
                      <w:highlight w:val="none"/>
                      <w:lang w:val="en-US" w:eastAsia="zh-CN"/>
                    </w:rPr>
                    <w:t>7m</w:t>
                  </w:r>
                  <w:r>
                    <w:rPr>
                      <w:rFonts w:hint="eastAsia" w:ascii="Times New Roman" w:hAnsi="Times New Roman" w:eastAsia="宋体" w:cs="Times New Roman"/>
                      <w:color w:val="000000"/>
                      <w:sz w:val="18"/>
                      <w:szCs w:val="18"/>
                      <w:highlight w:val="none"/>
                      <w:lang w:val="en-US" w:eastAsia="zh-CN"/>
                    </w:rPr>
                    <w:t>，泥结碎石路面，行车速度不超过</w:t>
                  </w:r>
                  <w:r>
                    <w:rPr>
                      <w:rFonts w:hint="default" w:ascii="Times New Roman" w:hAnsi="Times New Roman" w:eastAsia="宋体" w:cs="Times New Roman"/>
                      <w:color w:val="000000"/>
                      <w:sz w:val="18"/>
                      <w:szCs w:val="18"/>
                      <w:highlight w:val="none"/>
                      <w:lang w:val="en-US" w:eastAsia="zh-CN"/>
                    </w:rPr>
                    <w:t>30km/h</w:t>
                  </w:r>
                  <w:r>
                    <w:rPr>
                      <w:rFonts w:hint="eastAsia" w:ascii="Times New Roman" w:hAnsi="Times New Roman" w:eastAsia="宋体" w:cs="Times New Roman"/>
                      <w:color w:val="000000"/>
                      <w:sz w:val="18"/>
                      <w:szCs w:val="18"/>
                      <w:highlight w:val="none"/>
                      <w:lang w:val="en-US" w:eastAsia="zh-CN"/>
                    </w:rPr>
                    <w:t>，最大纵坡不大于</w:t>
                  </w:r>
                  <w:r>
                    <w:rPr>
                      <w:rFonts w:hint="default" w:ascii="Times New Roman" w:hAnsi="Times New Roman" w:eastAsia="宋体" w:cs="Times New Roman"/>
                      <w:color w:val="000000"/>
                      <w:sz w:val="18"/>
                      <w:szCs w:val="18"/>
                      <w:highlight w:val="none"/>
                      <w:lang w:val="en-US" w:eastAsia="zh-CN"/>
                    </w:rPr>
                    <w:t>8%</w:t>
                  </w:r>
                  <w:r>
                    <w:rPr>
                      <w:rFonts w:hint="eastAsia" w:ascii="Times New Roman" w:hAnsi="Times New Roman" w:eastAsia="宋体" w:cs="Times New Roman"/>
                      <w:color w:val="000000"/>
                      <w:sz w:val="18"/>
                      <w:szCs w:val="18"/>
                      <w:highlight w:val="none"/>
                      <w:lang w:val="en-US" w:eastAsia="zh-CN"/>
                    </w:rPr>
                    <w:t>，最小圆曲线半径为</w:t>
                  </w:r>
                  <w:r>
                    <w:rPr>
                      <w:rFonts w:hint="default" w:ascii="Times New Roman" w:hAnsi="Times New Roman" w:eastAsia="宋体" w:cs="Times New Roman"/>
                      <w:color w:val="000000"/>
                      <w:sz w:val="18"/>
                      <w:szCs w:val="18"/>
                      <w:highlight w:val="none"/>
                      <w:lang w:val="en-US" w:eastAsia="zh-CN"/>
                    </w:rPr>
                    <w:t>25m</w:t>
                  </w:r>
                  <w:r>
                    <w:rPr>
                      <w:rFonts w:hint="eastAsia" w:ascii="Times New Roman" w:hAnsi="Times New Roman" w:eastAsia="宋体" w:cs="Times New Roman"/>
                      <w:color w:val="000000"/>
                      <w:sz w:val="18"/>
                      <w:szCs w:val="18"/>
                      <w:highlight w:val="none"/>
                      <w:lang w:val="en-US" w:eastAsia="zh-CN"/>
                    </w:rPr>
                    <w:t>，最短视距</w:t>
                  </w:r>
                  <w:r>
                    <w:rPr>
                      <w:rFonts w:hint="default" w:ascii="Times New Roman" w:hAnsi="Times New Roman" w:eastAsia="宋体" w:cs="Times New Roman"/>
                      <w:color w:val="000000"/>
                      <w:sz w:val="18"/>
                      <w:szCs w:val="18"/>
                      <w:highlight w:val="none"/>
                      <w:lang w:val="en-US" w:eastAsia="zh-CN"/>
                    </w:rPr>
                    <w:t>30m</w:t>
                  </w:r>
                  <w:r>
                    <w:rPr>
                      <w:rFonts w:hint="eastAsia" w:ascii="Times New Roman" w:hAnsi="Times New Roman" w:eastAsia="宋体" w:cs="Times New Roman"/>
                      <w:color w:val="000000"/>
                      <w:sz w:val="18"/>
                      <w:szCs w:val="18"/>
                      <w:highlight w:val="none"/>
                      <w:lang w:val="en-US" w:eastAsia="zh-CN"/>
                    </w:rPr>
                    <w:t>。设置错车道（平台）和缓和坡段，宽</w:t>
                  </w:r>
                  <w:r>
                    <w:rPr>
                      <w:rFonts w:hint="default" w:ascii="Times New Roman" w:hAnsi="Times New Roman" w:eastAsia="宋体" w:cs="Times New Roman"/>
                      <w:color w:val="000000"/>
                      <w:sz w:val="18"/>
                      <w:szCs w:val="18"/>
                      <w:highlight w:val="none"/>
                      <w:lang w:val="en-US" w:eastAsia="zh-CN"/>
                    </w:rPr>
                    <w:t>14m</w:t>
                  </w:r>
                  <w:r>
                    <w:rPr>
                      <w:rFonts w:hint="eastAsia" w:ascii="Times New Roman" w:hAnsi="Times New Roman" w:eastAsia="宋体" w:cs="Times New Roman"/>
                      <w:color w:val="000000"/>
                      <w:sz w:val="18"/>
                      <w:szCs w:val="18"/>
                      <w:highlight w:val="none"/>
                      <w:lang w:val="en-US" w:eastAsia="zh-CN"/>
                    </w:rPr>
                    <w:t>，间隔距离不大于</w:t>
                  </w:r>
                  <w:r>
                    <w:rPr>
                      <w:rFonts w:hint="default" w:ascii="Times New Roman" w:hAnsi="Times New Roman" w:eastAsia="宋体" w:cs="Times New Roman"/>
                      <w:color w:val="000000"/>
                      <w:sz w:val="18"/>
                      <w:szCs w:val="18"/>
                      <w:highlight w:val="none"/>
                      <w:lang w:val="en-US" w:eastAsia="zh-CN"/>
                    </w:rPr>
                    <w:t>300m</w:t>
                  </w:r>
                  <w:r>
                    <w:rPr>
                      <w:rFonts w:hint="eastAsia" w:ascii="Times New Roman" w:hAnsi="Times New Roman" w:eastAsia="宋体" w:cs="Times New Roman"/>
                      <w:color w:val="000000"/>
                      <w:sz w:val="18"/>
                      <w:szCs w:val="18"/>
                      <w:highlight w:val="none"/>
                      <w:lang w:val="en-US" w:eastAsia="zh-CN"/>
                    </w:rPr>
                    <w:t>，坡度不大于</w:t>
                  </w:r>
                  <w:r>
                    <w:rPr>
                      <w:rFonts w:hint="default" w:ascii="Times New Roman" w:hAnsi="Times New Roman" w:eastAsia="宋体" w:cs="Times New Roman"/>
                      <w:color w:val="000000"/>
                      <w:sz w:val="18"/>
                      <w:szCs w:val="18"/>
                      <w:highlight w:val="none"/>
                      <w:lang w:val="en-US" w:eastAsia="zh-CN"/>
                    </w:rPr>
                    <w:t>3%</w:t>
                  </w:r>
                  <w:r>
                    <w:rPr>
                      <w:rFonts w:hint="eastAsia" w:ascii="Times New Roman" w:hAnsi="Times New Roman" w:eastAsia="宋体" w:cs="Times New Roman"/>
                      <w:color w:val="000000"/>
                      <w:sz w:val="18"/>
                      <w:szCs w:val="18"/>
                      <w:highlight w:val="none"/>
                      <w:lang w:val="en-US" w:eastAsia="zh-CN"/>
                    </w:rPr>
                    <w:t>，长度不小于</w:t>
                  </w:r>
                  <w:r>
                    <w:rPr>
                      <w:rFonts w:hint="default" w:ascii="Times New Roman" w:hAnsi="Times New Roman" w:eastAsia="宋体" w:cs="Times New Roman"/>
                      <w:color w:val="000000"/>
                      <w:sz w:val="18"/>
                      <w:szCs w:val="18"/>
                      <w:highlight w:val="none"/>
                      <w:lang w:val="en-US" w:eastAsia="zh-CN"/>
                    </w:rPr>
                    <w:t>100m</w:t>
                  </w:r>
                  <w:r>
                    <w:rPr>
                      <w:rFonts w:hint="eastAsia" w:ascii="Times New Roman" w:hAnsi="Times New Roman" w:eastAsia="宋体" w:cs="Times New Roman"/>
                      <w:color w:val="000000"/>
                      <w:sz w:val="18"/>
                      <w:szCs w:val="18"/>
                      <w:highlight w:val="none"/>
                      <w:lang w:val="en-US" w:eastAsia="zh-CN"/>
                    </w:rPr>
                    <w:t>。</w:t>
                  </w:r>
                </w:p>
              </w:tc>
              <w:tc>
                <w:tcPr>
                  <w:tcW w:w="3205" w:type="dxa"/>
                  <w:tcBorders>
                    <w:tl2br w:val="nil"/>
                    <w:tr2bl w:val="nil"/>
                  </w:tcBorders>
                  <w:noWrap w:val="0"/>
                  <w:vAlign w:val="center"/>
                </w:tcPr>
                <w:p w14:paraId="4E9B78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color w:val="000000"/>
                      <w:sz w:val="18"/>
                      <w:szCs w:val="18"/>
                      <w:highlight w:val="none"/>
                      <w:lang w:val="en-US" w:eastAsia="zh-CN"/>
                    </w:rPr>
                    <w:t>C8区块现有3#和5#公路，新建公路采用二级矿山道路，单车道路面宽度</w:t>
                  </w:r>
                  <w:r>
                    <w:rPr>
                      <w:rFonts w:hint="default" w:ascii="Times New Roman" w:hAnsi="Times New Roman" w:eastAsia="宋体" w:cs="Times New Roman"/>
                      <w:color w:val="000000"/>
                      <w:sz w:val="18"/>
                      <w:szCs w:val="18"/>
                      <w:highlight w:val="none"/>
                      <w:lang w:val="en-US" w:eastAsia="zh-CN"/>
                    </w:rPr>
                    <w:t>7m</w:t>
                  </w:r>
                  <w:r>
                    <w:rPr>
                      <w:rFonts w:hint="eastAsia" w:ascii="Times New Roman" w:hAnsi="Times New Roman" w:eastAsia="宋体" w:cs="Times New Roman"/>
                      <w:color w:val="000000"/>
                      <w:sz w:val="18"/>
                      <w:szCs w:val="18"/>
                      <w:highlight w:val="none"/>
                      <w:lang w:val="en-US" w:eastAsia="zh-CN"/>
                    </w:rPr>
                    <w:t>，泥结碎石路面，行车速度不超过</w:t>
                  </w:r>
                  <w:r>
                    <w:rPr>
                      <w:rFonts w:hint="default" w:ascii="Times New Roman" w:hAnsi="Times New Roman" w:eastAsia="宋体" w:cs="Times New Roman"/>
                      <w:color w:val="000000"/>
                      <w:sz w:val="18"/>
                      <w:szCs w:val="18"/>
                      <w:highlight w:val="none"/>
                      <w:lang w:val="en-US" w:eastAsia="zh-CN"/>
                    </w:rPr>
                    <w:t>30km/h</w:t>
                  </w:r>
                  <w:r>
                    <w:rPr>
                      <w:rFonts w:hint="eastAsia" w:ascii="Times New Roman" w:hAnsi="Times New Roman" w:eastAsia="宋体" w:cs="Times New Roman"/>
                      <w:color w:val="000000"/>
                      <w:sz w:val="18"/>
                      <w:szCs w:val="18"/>
                      <w:highlight w:val="none"/>
                      <w:lang w:val="en-US" w:eastAsia="zh-CN"/>
                    </w:rPr>
                    <w:t>，最大纵坡不大于</w:t>
                  </w:r>
                  <w:r>
                    <w:rPr>
                      <w:rFonts w:hint="default" w:ascii="Times New Roman" w:hAnsi="Times New Roman" w:eastAsia="宋体" w:cs="Times New Roman"/>
                      <w:color w:val="000000"/>
                      <w:sz w:val="18"/>
                      <w:szCs w:val="18"/>
                      <w:highlight w:val="none"/>
                      <w:lang w:val="en-US" w:eastAsia="zh-CN"/>
                    </w:rPr>
                    <w:t>8%</w:t>
                  </w:r>
                  <w:r>
                    <w:rPr>
                      <w:rFonts w:hint="eastAsia" w:ascii="Times New Roman" w:hAnsi="Times New Roman" w:eastAsia="宋体" w:cs="Times New Roman"/>
                      <w:color w:val="000000"/>
                      <w:sz w:val="18"/>
                      <w:szCs w:val="18"/>
                      <w:highlight w:val="none"/>
                      <w:lang w:val="en-US" w:eastAsia="zh-CN"/>
                    </w:rPr>
                    <w:t>，最小圆曲线半径为</w:t>
                  </w:r>
                  <w:r>
                    <w:rPr>
                      <w:rFonts w:hint="default" w:ascii="Times New Roman" w:hAnsi="Times New Roman" w:eastAsia="宋体" w:cs="Times New Roman"/>
                      <w:color w:val="000000"/>
                      <w:sz w:val="18"/>
                      <w:szCs w:val="18"/>
                      <w:highlight w:val="none"/>
                      <w:lang w:val="en-US" w:eastAsia="zh-CN"/>
                    </w:rPr>
                    <w:t>25m</w:t>
                  </w:r>
                  <w:r>
                    <w:rPr>
                      <w:rFonts w:hint="eastAsia" w:ascii="Times New Roman" w:hAnsi="Times New Roman" w:eastAsia="宋体" w:cs="Times New Roman"/>
                      <w:color w:val="000000"/>
                      <w:sz w:val="18"/>
                      <w:szCs w:val="18"/>
                      <w:highlight w:val="none"/>
                      <w:lang w:val="en-US" w:eastAsia="zh-CN"/>
                    </w:rPr>
                    <w:t>，最短视距</w:t>
                  </w:r>
                  <w:r>
                    <w:rPr>
                      <w:rFonts w:hint="default" w:ascii="Times New Roman" w:hAnsi="Times New Roman" w:eastAsia="宋体" w:cs="Times New Roman"/>
                      <w:color w:val="000000"/>
                      <w:sz w:val="18"/>
                      <w:szCs w:val="18"/>
                      <w:highlight w:val="none"/>
                      <w:lang w:val="en-US" w:eastAsia="zh-CN"/>
                    </w:rPr>
                    <w:t>30m</w:t>
                  </w:r>
                  <w:r>
                    <w:rPr>
                      <w:rFonts w:hint="eastAsia" w:ascii="Times New Roman" w:hAnsi="Times New Roman" w:eastAsia="宋体" w:cs="Times New Roman"/>
                      <w:color w:val="000000"/>
                      <w:sz w:val="18"/>
                      <w:szCs w:val="18"/>
                      <w:highlight w:val="none"/>
                      <w:lang w:val="en-US" w:eastAsia="zh-CN"/>
                    </w:rPr>
                    <w:t>。设置错车道（平台）和缓和坡段，宽</w:t>
                  </w:r>
                  <w:r>
                    <w:rPr>
                      <w:rFonts w:hint="default" w:ascii="Times New Roman" w:hAnsi="Times New Roman" w:eastAsia="宋体" w:cs="Times New Roman"/>
                      <w:color w:val="000000"/>
                      <w:sz w:val="18"/>
                      <w:szCs w:val="18"/>
                      <w:highlight w:val="none"/>
                      <w:lang w:val="en-US" w:eastAsia="zh-CN"/>
                    </w:rPr>
                    <w:t>14m</w:t>
                  </w:r>
                  <w:r>
                    <w:rPr>
                      <w:rFonts w:hint="eastAsia" w:ascii="Times New Roman" w:hAnsi="Times New Roman" w:eastAsia="宋体" w:cs="Times New Roman"/>
                      <w:color w:val="000000"/>
                      <w:sz w:val="18"/>
                      <w:szCs w:val="18"/>
                      <w:highlight w:val="none"/>
                      <w:lang w:val="en-US" w:eastAsia="zh-CN"/>
                    </w:rPr>
                    <w:t>，间隔距离不大于</w:t>
                  </w:r>
                  <w:r>
                    <w:rPr>
                      <w:rFonts w:hint="default" w:ascii="Times New Roman" w:hAnsi="Times New Roman" w:eastAsia="宋体" w:cs="Times New Roman"/>
                      <w:color w:val="000000"/>
                      <w:sz w:val="18"/>
                      <w:szCs w:val="18"/>
                      <w:highlight w:val="none"/>
                      <w:lang w:val="en-US" w:eastAsia="zh-CN"/>
                    </w:rPr>
                    <w:t>300m</w:t>
                  </w:r>
                  <w:r>
                    <w:rPr>
                      <w:rFonts w:hint="eastAsia" w:ascii="Times New Roman" w:hAnsi="Times New Roman" w:eastAsia="宋体" w:cs="Times New Roman"/>
                      <w:color w:val="000000"/>
                      <w:sz w:val="18"/>
                      <w:szCs w:val="18"/>
                      <w:highlight w:val="none"/>
                      <w:lang w:val="en-US" w:eastAsia="zh-CN"/>
                    </w:rPr>
                    <w:t>，坡度不大于</w:t>
                  </w:r>
                  <w:r>
                    <w:rPr>
                      <w:rFonts w:hint="default" w:ascii="Times New Roman" w:hAnsi="Times New Roman" w:eastAsia="宋体" w:cs="Times New Roman"/>
                      <w:color w:val="000000"/>
                      <w:sz w:val="18"/>
                      <w:szCs w:val="18"/>
                      <w:highlight w:val="none"/>
                      <w:lang w:val="en-US" w:eastAsia="zh-CN"/>
                    </w:rPr>
                    <w:t>3%</w:t>
                  </w:r>
                  <w:r>
                    <w:rPr>
                      <w:rFonts w:hint="eastAsia" w:ascii="Times New Roman" w:hAnsi="Times New Roman" w:eastAsia="宋体" w:cs="Times New Roman"/>
                      <w:color w:val="000000"/>
                      <w:sz w:val="18"/>
                      <w:szCs w:val="18"/>
                      <w:highlight w:val="none"/>
                      <w:lang w:val="en-US" w:eastAsia="zh-CN"/>
                    </w:rPr>
                    <w:t>，长度不小于</w:t>
                  </w:r>
                  <w:r>
                    <w:rPr>
                      <w:rFonts w:hint="default" w:ascii="Times New Roman" w:hAnsi="Times New Roman" w:eastAsia="宋体" w:cs="Times New Roman"/>
                      <w:color w:val="000000"/>
                      <w:sz w:val="18"/>
                      <w:szCs w:val="18"/>
                      <w:highlight w:val="none"/>
                      <w:lang w:val="en-US" w:eastAsia="zh-CN"/>
                    </w:rPr>
                    <w:t>100m</w:t>
                  </w:r>
                  <w:r>
                    <w:rPr>
                      <w:rFonts w:hint="eastAsia" w:ascii="Times New Roman" w:hAnsi="Times New Roman" w:eastAsia="宋体" w:cs="Times New Roman"/>
                      <w:color w:val="000000"/>
                      <w:sz w:val="18"/>
                      <w:szCs w:val="18"/>
                      <w:highlight w:val="none"/>
                      <w:lang w:val="en-US" w:eastAsia="zh-CN"/>
                    </w:rPr>
                    <w:t>。</w:t>
                  </w:r>
                </w:p>
              </w:tc>
              <w:tc>
                <w:tcPr>
                  <w:tcW w:w="1125" w:type="dxa"/>
                  <w:tcBorders>
                    <w:tl2br w:val="nil"/>
                    <w:tr2bl w:val="nil"/>
                  </w:tcBorders>
                  <w:noWrap w:val="0"/>
                  <w:vAlign w:val="center"/>
                </w:tcPr>
                <w:p w14:paraId="3CB4C87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eastAsia" w:ascii="Times New Roman" w:hAnsi="Times New Roman" w:eastAsia="宋体" w:cs="Times New Roman"/>
                      <w:sz w:val="18"/>
                      <w:szCs w:val="18"/>
                      <w:highlight w:val="none"/>
                      <w:lang w:eastAsia="zh-CN"/>
                    </w:rPr>
                  </w:pPr>
                  <w:r>
                    <w:rPr>
                      <w:rFonts w:hint="eastAsia" w:cs="Times New Roman"/>
                      <w:color w:val="000000"/>
                      <w:spacing w:val="0"/>
                      <w:position w:val="0"/>
                      <w:sz w:val="18"/>
                      <w:szCs w:val="18"/>
                      <w:highlight w:val="none"/>
                      <w:lang w:val="en-US" w:eastAsia="zh-CN"/>
                    </w:rPr>
                    <w:t>无变化</w:t>
                  </w:r>
                </w:p>
              </w:tc>
            </w:tr>
            <w:tr w14:paraId="399D3B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tcBorders>
                    <w:tl2br w:val="nil"/>
                    <w:tr2bl w:val="nil"/>
                  </w:tcBorders>
                  <w:noWrap w:val="0"/>
                  <w:tcMar>
                    <w:top w:w="57" w:type="dxa"/>
                    <w:left w:w="28" w:type="dxa"/>
                    <w:bottom w:w="57" w:type="dxa"/>
                    <w:right w:w="28" w:type="dxa"/>
                  </w:tcMar>
                  <w:vAlign w:val="center"/>
                </w:tcPr>
                <w:p w14:paraId="16A7DA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eastAsia"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储运工程</w:t>
                  </w:r>
                </w:p>
              </w:tc>
              <w:tc>
                <w:tcPr>
                  <w:tcW w:w="906" w:type="dxa"/>
                  <w:gridSpan w:val="2"/>
                  <w:tcBorders>
                    <w:tl2br w:val="nil"/>
                    <w:tr2bl w:val="nil"/>
                  </w:tcBorders>
                  <w:noWrap w:val="0"/>
                  <w:tcMar>
                    <w:top w:w="57" w:type="dxa"/>
                    <w:left w:w="28" w:type="dxa"/>
                    <w:bottom w:w="57" w:type="dxa"/>
                    <w:right w:w="28" w:type="dxa"/>
                  </w:tcMar>
                  <w:vAlign w:val="center"/>
                </w:tcPr>
                <w:p w14:paraId="39C329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eastAsia"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排土场</w:t>
                  </w:r>
                </w:p>
              </w:tc>
              <w:tc>
                <w:tcPr>
                  <w:tcW w:w="3444" w:type="dxa"/>
                  <w:tcBorders>
                    <w:tl2br w:val="nil"/>
                    <w:tr2bl w:val="nil"/>
                  </w:tcBorders>
                  <w:noWrap w:val="0"/>
                  <w:vAlign w:val="center"/>
                </w:tcPr>
                <w:p w14:paraId="015FB4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eastAsia" w:ascii="Times New Roman" w:hAnsi="Times New Roman" w:eastAsia="宋体" w:cs="Times New Roman"/>
                      <w:sz w:val="18"/>
                      <w:szCs w:val="18"/>
                      <w:highlight w:val="none"/>
                      <w:lang w:eastAsia="zh-CN"/>
                    </w:rPr>
                  </w:pPr>
                  <w:r>
                    <w:rPr>
                      <w:rFonts w:hint="default" w:ascii="Times New Roman" w:hAnsi="Times New Roman" w:eastAsia="宋体" w:cs="Times New Roman"/>
                      <w:color w:val="000000"/>
                      <w:sz w:val="18"/>
                      <w:szCs w:val="18"/>
                      <w:highlight w:val="none"/>
                    </w:rPr>
                    <w:t>项目不设置原矿堆场</w:t>
                  </w:r>
                  <w:r>
                    <w:rPr>
                      <w:rFonts w:hint="eastAsia" w:ascii="Times New Roman" w:hAnsi="Times New Roman" w:eastAsia="宋体" w:cs="Times New Roman"/>
                      <w:color w:val="000000"/>
                      <w:sz w:val="18"/>
                      <w:szCs w:val="18"/>
                      <w:highlight w:val="none"/>
                      <w:lang w:eastAsia="zh-CN"/>
                    </w:rPr>
                    <w:t>、排土场</w:t>
                  </w:r>
                  <w:r>
                    <w:rPr>
                      <w:rFonts w:hint="default" w:ascii="Times New Roman" w:hAnsi="Times New Roman" w:eastAsia="宋体" w:cs="Times New Roman"/>
                      <w:color w:val="000000"/>
                      <w:sz w:val="18"/>
                      <w:szCs w:val="18"/>
                      <w:highlight w:val="none"/>
                    </w:rPr>
                    <w:t>，矿山企业生产</w:t>
                  </w:r>
                  <w:r>
                    <w:rPr>
                      <w:rFonts w:hint="eastAsia" w:ascii="Times New Roman" w:hAnsi="Times New Roman" w:eastAsia="宋体" w:cs="Times New Roman"/>
                      <w:color w:val="000000"/>
                      <w:sz w:val="18"/>
                      <w:szCs w:val="18"/>
                      <w:highlight w:val="none"/>
                      <w:lang w:eastAsia="zh-CN"/>
                    </w:rPr>
                    <w:t>原矿石、</w:t>
                  </w:r>
                  <w:r>
                    <w:rPr>
                      <w:rFonts w:hint="default" w:ascii="Times New Roman" w:hAnsi="Times New Roman" w:eastAsia="宋体" w:cs="Times New Roman"/>
                      <w:color w:val="000000"/>
                      <w:sz w:val="18"/>
                      <w:szCs w:val="18"/>
                      <w:highlight w:val="none"/>
                    </w:rPr>
                    <w:t>尾矿角材及剥离风化层，由山下碎石加工企业</w:t>
                  </w:r>
                  <w:r>
                    <w:rPr>
                      <w:rFonts w:hint="eastAsia" w:ascii="Times New Roman" w:hAnsi="Times New Roman" w:eastAsia="宋体" w:cs="Times New Roman"/>
                      <w:color w:val="000000"/>
                      <w:sz w:val="18"/>
                      <w:szCs w:val="18"/>
                      <w:highlight w:val="none"/>
                      <w:lang w:eastAsia="zh-CN"/>
                    </w:rPr>
                    <w:t>利用自卸汽车直接</w:t>
                  </w:r>
                  <w:r>
                    <w:rPr>
                      <w:rFonts w:hint="default" w:ascii="Times New Roman" w:hAnsi="Times New Roman" w:eastAsia="宋体" w:cs="Times New Roman"/>
                      <w:color w:val="000000"/>
                      <w:sz w:val="18"/>
                      <w:szCs w:val="18"/>
                      <w:highlight w:val="none"/>
                    </w:rPr>
                    <w:t>运输至建筑石料加工工业场地</w:t>
                  </w:r>
                  <w:r>
                    <w:rPr>
                      <w:rFonts w:hint="eastAsia" w:ascii="Times New Roman" w:hAnsi="Times New Roman" w:eastAsia="宋体" w:cs="Times New Roman"/>
                      <w:color w:val="000000"/>
                      <w:sz w:val="18"/>
                      <w:szCs w:val="18"/>
                      <w:highlight w:val="none"/>
                      <w:lang w:eastAsia="zh-CN"/>
                    </w:rPr>
                    <w:t>。根据现场调查，目前，矿区周边包含多家碎石生产线，年预处理能力约3400万吨/年，现处理能力无法满足废料综合利用处理需求，根据麻城市政府相规划，拟由麻城市城发资本运营有限公司建设废料处理设施，对超额废料进行统一处理。</w:t>
                  </w:r>
                </w:p>
              </w:tc>
              <w:tc>
                <w:tcPr>
                  <w:tcW w:w="3205" w:type="dxa"/>
                  <w:tcBorders>
                    <w:tl2br w:val="nil"/>
                    <w:tr2bl w:val="nil"/>
                  </w:tcBorders>
                  <w:noWrap w:val="0"/>
                  <w:vAlign w:val="center"/>
                </w:tcPr>
                <w:p w14:paraId="5E2823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eastAsia" w:ascii="Times New Roman" w:hAnsi="Times New Roman" w:eastAsia="宋体" w:cs="Times New Roman"/>
                      <w:sz w:val="18"/>
                      <w:szCs w:val="18"/>
                      <w:highlight w:val="none"/>
                      <w:lang w:eastAsia="zh-CN"/>
                    </w:rPr>
                  </w:pPr>
                  <w:r>
                    <w:rPr>
                      <w:rFonts w:hint="default" w:ascii="Times New Roman" w:hAnsi="Times New Roman" w:eastAsia="宋体" w:cs="Times New Roman"/>
                      <w:color w:val="000000"/>
                      <w:sz w:val="18"/>
                      <w:szCs w:val="18"/>
                      <w:highlight w:val="none"/>
                    </w:rPr>
                    <w:t>项目不设置原矿堆场</w:t>
                  </w:r>
                  <w:r>
                    <w:rPr>
                      <w:rFonts w:hint="eastAsia" w:ascii="Times New Roman" w:hAnsi="Times New Roman" w:eastAsia="宋体" w:cs="Times New Roman"/>
                      <w:color w:val="000000"/>
                      <w:sz w:val="18"/>
                      <w:szCs w:val="18"/>
                      <w:highlight w:val="none"/>
                      <w:lang w:eastAsia="zh-CN"/>
                    </w:rPr>
                    <w:t>、排土场</w:t>
                  </w:r>
                  <w:r>
                    <w:rPr>
                      <w:rFonts w:hint="default" w:ascii="Times New Roman" w:hAnsi="Times New Roman" w:eastAsia="宋体" w:cs="Times New Roman"/>
                      <w:color w:val="000000"/>
                      <w:sz w:val="18"/>
                      <w:szCs w:val="18"/>
                      <w:highlight w:val="none"/>
                    </w:rPr>
                    <w:t>，矿山企业生产</w:t>
                  </w:r>
                  <w:r>
                    <w:rPr>
                      <w:rFonts w:hint="eastAsia" w:ascii="Times New Roman" w:hAnsi="Times New Roman" w:eastAsia="宋体" w:cs="Times New Roman"/>
                      <w:color w:val="000000"/>
                      <w:sz w:val="18"/>
                      <w:szCs w:val="18"/>
                      <w:highlight w:val="none"/>
                      <w:lang w:eastAsia="zh-CN"/>
                    </w:rPr>
                    <w:t>原矿石、</w:t>
                  </w:r>
                  <w:r>
                    <w:rPr>
                      <w:rFonts w:hint="default" w:ascii="Times New Roman" w:hAnsi="Times New Roman" w:eastAsia="宋体" w:cs="Times New Roman"/>
                      <w:color w:val="000000"/>
                      <w:sz w:val="18"/>
                      <w:szCs w:val="18"/>
                      <w:highlight w:val="none"/>
                    </w:rPr>
                    <w:t>尾矿角材及剥离风化层，由山下碎石加工企业</w:t>
                  </w:r>
                  <w:r>
                    <w:rPr>
                      <w:rFonts w:hint="eastAsia" w:ascii="Times New Roman" w:hAnsi="Times New Roman" w:eastAsia="宋体" w:cs="Times New Roman"/>
                      <w:color w:val="000000"/>
                      <w:sz w:val="18"/>
                      <w:szCs w:val="18"/>
                      <w:highlight w:val="none"/>
                      <w:lang w:eastAsia="zh-CN"/>
                    </w:rPr>
                    <w:t>利用自卸汽车直接</w:t>
                  </w:r>
                  <w:r>
                    <w:rPr>
                      <w:rFonts w:hint="default" w:ascii="Times New Roman" w:hAnsi="Times New Roman" w:eastAsia="宋体" w:cs="Times New Roman"/>
                      <w:color w:val="000000"/>
                      <w:sz w:val="18"/>
                      <w:szCs w:val="18"/>
                      <w:highlight w:val="none"/>
                    </w:rPr>
                    <w:t>运输至建筑石料加工工业场地</w:t>
                  </w:r>
                  <w:r>
                    <w:rPr>
                      <w:rFonts w:hint="eastAsia" w:ascii="Times New Roman" w:hAnsi="Times New Roman" w:eastAsia="宋体" w:cs="Times New Roman"/>
                      <w:color w:val="000000"/>
                      <w:sz w:val="18"/>
                      <w:szCs w:val="18"/>
                      <w:highlight w:val="none"/>
                      <w:lang w:eastAsia="zh-CN"/>
                    </w:rPr>
                    <w:t>。根据现场调查，目前，矿区周边包含多家碎石生产线，年预处理能力约3400万吨/年，现处理能力无法满足废料综合利用处理需求，根据麻城市政府相规划，拟由麻城市城发资本运营有限公司建设废料处理设施，对超额废料进行统一处理。</w:t>
                  </w:r>
                </w:p>
              </w:tc>
              <w:tc>
                <w:tcPr>
                  <w:tcW w:w="1125" w:type="dxa"/>
                  <w:tcBorders>
                    <w:tl2br w:val="nil"/>
                    <w:tr2bl w:val="nil"/>
                  </w:tcBorders>
                  <w:noWrap w:val="0"/>
                  <w:vAlign w:val="center"/>
                </w:tcPr>
                <w:p w14:paraId="6AB4F6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000000"/>
                      <w:sz w:val="18"/>
                      <w:szCs w:val="18"/>
                      <w:highlight w:val="none"/>
                      <w:lang w:eastAsia="zh-CN"/>
                    </w:rPr>
                  </w:pPr>
                  <w:r>
                    <w:rPr>
                      <w:rFonts w:hint="eastAsia" w:cs="Times New Roman"/>
                      <w:color w:val="000000"/>
                      <w:spacing w:val="0"/>
                      <w:position w:val="0"/>
                      <w:sz w:val="18"/>
                      <w:szCs w:val="18"/>
                      <w:highlight w:val="none"/>
                      <w:lang w:val="en-US" w:eastAsia="zh-CN"/>
                    </w:rPr>
                    <w:t>无变化</w:t>
                  </w:r>
                </w:p>
              </w:tc>
            </w:tr>
            <w:tr w14:paraId="270331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vMerge w:val="restart"/>
                  <w:tcBorders>
                    <w:tl2br w:val="nil"/>
                    <w:tr2bl w:val="nil"/>
                  </w:tcBorders>
                  <w:noWrap w:val="0"/>
                  <w:tcMar>
                    <w:top w:w="57" w:type="dxa"/>
                    <w:left w:w="28" w:type="dxa"/>
                    <w:bottom w:w="57" w:type="dxa"/>
                    <w:right w:w="28" w:type="dxa"/>
                  </w:tcMar>
                  <w:vAlign w:val="center"/>
                </w:tcPr>
                <w:p w14:paraId="10E7D4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公用工程</w:t>
                  </w:r>
                </w:p>
              </w:tc>
              <w:tc>
                <w:tcPr>
                  <w:tcW w:w="906" w:type="dxa"/>
                  <w:gridSpan w:val="2"/>
                  <w:tcBorders>
                    <w:tl2br w:val="nil"/>
                    <w:tr2bl w:val="nil"/>
                  </w:tcBorders>
                  <w:noWrap w:val="0"/>
                  <w:tcMar>
                    <w:top w:w="57" w:type="dxa"/>
                    <w:left w:w="28" w:type="dxa"/>
                    <w:bottom w:w="57" w:type="dxa"/>
                    <w:right w:w="28" w:type="dxa"/>
                  </w:tcMar>
                  <w:vAlign w:val="center"/>
                </w:tcPr>
                <w:p w14:paraId="426C93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给水</w:t>
                  </w:r>
                </w:p>
              </w:tc>
              <w:tc>
                <w:tcPr>
                  <w:tcW w:w="3444" w:type="dxa"/>
                  <w:tcBorders>
                    <w:tl2br w:val="nil"/>
                    <w:tr2bl w:val="nil"/>
                  </w:tcBorders>
                  <w:noWrap w:val="0"/>
                  <w:vAlign w:val="center"/>
                </w:tcPr>
                <w:p w14:paraId="108CC196">
                  <w:pPr>
                    <w:pStyle w:val="25"/>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right="0" w:rightChars="0" w:firstLine="0" w:firstLineChars="0"/>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color w:val="000000"/>
                      <w:sz w:val="18"/>
                      <w:szCs w:val="18"/>
                      <w:highlight w:val="none"/>
                    </w:rPr>
                    <w:t>项目用水包括生产用水及生活用水。生产用水（主要为矿山开采抑尘用水、</w:t>
                  </w:r>
                  <w:r>
                    <w:rPr>
                      <w:rFonts w:hint="eastAsia" w:ascii="Times New Roman" w:hAnsi="Times New Roman" w:eastAsia="宋体" w:cs="Times New Roman"/>
                      <w:color w:val="000000"/>
                      <w:sz w:val="18"/>
                      <w:szCs w:val="18"/>
                      <w:highlight w:val="none"/>
                      <w:lang w:eastAsia="zh-CN"/>
                    </w:rPr>
                    <w:t>切割</w:t>
                  </w:r>
                  <w:r>
                    <w:rPr>
                      <w:rFonts w:hint="default" w:ascii="Times New Roman" w:hAnsi="Times New Roman" w:eastAsia="宋体" w:cs="Times New Roman"/>
                      <w:color w:val="000000"/>
                      <w:sz w:val="18"/>
                      <w:szCs w:val="18"/>
                      <w:highlight w:val="none"/>
                    </w:rPr>
                    <w:t>用水）取自</w:t>
                  </w:r>
                  <w:r>
                    <w:rPr>
                      <w:rFonts w:hint="eastAsia" w:ascii="Times New Roman" w:hAnsi="Times New Roman" w:eastAsia="宋体" w:cs="Times New Roman"/>
                      <w:color w:val="000000"/>
                      <w:sz w:val="18"/>
                      <w:szCs w:val="18"/>
                      <w:highlight w:val="none"/>
                      <w:lang w:eastAsia="zh-CN"/>
                    </w:rPr>
                    <w:t>厂界周围的</w:t>
                  </w:r>
                  <w:r>
                    <w:rPr>
                      <w:rFonts w:hint="default" w:ascii="Times New Roman" w:hAnsi="Times New Roman" w:eastAsia="宋体" w:cs="Times New Roman"/>
                      <w:color w:val="000000"/>
                      <w:sz w:val="18"/>
                      <w:szCs w:val="18"/>
                      <w:highlight w:val="none"/>
                    </w:rPr>
                    <w:t>人工筑堰塘</w:t>
                  </w:r>
                  <w:r>
                    <w:rPr>
                      <w:rFonts w:hint="default" w:ascii="Times New Roman" w:hAnsi="Times New Roman" w:eastAsia="宋体" w:cs="Times New Roman"/>
                      <w:color w:val="000000"/>
                      <w:sz w:val="18"/>
                      <w:szCs w:val="18"/>
                      <w:highlight w:val="none"/>
                      <w:lang w:eastAsia="zh-CN"/>
                    </w:rPr>
                    <w:t>，生活用水取</w:t>
                  </w:r>
                  <w:r>
                    <w:rPr>
                      <w:rFonts w:hint="eastAsia" w:ascii="Times New Roman" w:hAnsi="Times New Roman" w:eastAsia="宋体" w:cs="Times New Roman"/>
                      <w:color w:val="000000"/>
                      <w:sz w:val="18"/>
                      <w:szCs w:val="18"/>
                      <w:highlight w:val="none"/>
                      <w:lang w:eastAsia="zh-CN"/>
                    </w:rPr>
                    <w:t>自来水管网</w:t>
                  </w:r>
                  <w:r>
                    <w:rPr>
                      <w:rFonts w:hint="default" w:ascii="Times New Roman" w:hAnsi="Times New Roman" w:eastAsia="宋体" w:cs="Times New Roman"/>
                      <w:color w:val="000000"/>
                      <w:sz w:val="18"/>
                      <w:szCs w:val="18"/>
                      <w:highlight w:val="none"/>
                      <w:lang w:eastAsia="zh-CN"/>
                    </w:rPr>
                    <w:t>和购买桶装纯净水。</w:t>
                  </w:r>
                </w:p>
              </w:tc>
              <w:tc>
                <w:tcPr>
                  <w:tcW w:w="3205" w:type="dxa"/>
                  <w:tcBorders>
                    <w:tl2br w:val="nil"/>
                    <w:tr2bl w:val="nil"/>
                  </w:tcBorders>
                  <w:noWrap w:val="0"/>
                  <w:vAlign w:val="center"/>
                </w:tcPr>
                <w:p w14:paraId="3D3E8C3E">
                  <w:pPr>
                    <w:pStyle w:val="25"/>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right="0" w:rightChars="0" w:firstLine="0" w:firstLineChars="0"/>
                    <w:textAlignment w:val="auto"/>
                    <w:outlineLvl w:val="9"/>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color w:val="000000"/>
                      <w:sz w:val="18"/>
                      <w:szCs w:val="18"/>
                      <w:highlight w:val="none"/>
                    </w:rPr>
                    <w:t>项目用水包括生产用水及生活用水。生产用水（主要为矿山开采抑尘用水、</w:t>
                  </w:r>
                  <w:r>
                    <w:rPr>
                      <w:rFonts w:hint="eastAsia" w:ascii="Times New Roman" w:hAnsi="Times New Roman" w:eastAsia="宋体" w:cs="Times New Roman"/>
                      <w:color w:val="000000"/>
                      <w:sz w:val="18"/>
                      <w:szCs w:val="18"/>
                      <w:highlight w:val="none"/>
                      <w:lang w:eastAsia="zh-CN"/>
                    </w:rPr>
                    <w:t>切割</w:t>
                  </w:r>
                  <w:r>
                    <w:rPr>
                      <w:rFonts w:hint="default" w:ascii="Times New Roman" w:hAnsi="Times New Roman" w:eastAsia="宋体" w:cs="Times New Roman"/>
                      <w:color w:val="000000"/>
                      <w:sz w:val="18"/>
                      <w:szCs w:val="18"/>
                      <w:highlight w:val="none"/>
                    </w:rPr>
                    <w:t>用水）取自</w:t>
                  </w:r>
                  <w:r>
                    <w:rPr>
                      <w:rFonts w:hint="eastAsia" w:ascii="Times New Roman" w:hAnsi="Times New Roman" w:eastAsia="宋体" w:cs="Times New Roman"/>
                      <w:color w:val="000000"/>
                      <w:sz w:val="18"/>
                      <w:szCs w:val="18"/>
                      <w:highlight w:val="none"/>
                      <w:lang w:eastAsia="zh-CN"/>
                    </w:rPr>
                    <w:t>厂界周围的</w:t>
                  </w:r>
                  <w:r>
                    <w:rPr>
                      <w:rFonts w:hint="default" w:ascii="Times New Roman" w:hAnsi="Times New Roman" w:eastAsia="宋体" w:cs="Times New Roman"/>
                      <w:color w:val="000000"/>
                      <w:sz w:val="18"/>
                      <w:szCs w:val="18"/>
                      <w:highlight w:val="none"/>
                    </w:rPr>
                    <w:t>人工筑堰塘</w:t>
                  </w:r>
                  <w:r>
                    <w:rPr>
                      <w:rFonts w:hint="default" w:ascii="Times New Roman" w:hAnsi="Times New Roman" w:eastAsia="宋体" w:cs="Times New Roman"/>
                      <w:color w:val="000000"/>
                      <w:sz w:val="18"/>
                      <w:szCs w:val="18"/>
                      <w:highlight w:val="none"/>
                      <w:lang w:eastAsia="zh-CN"/>
                    </w:rPr>
                    <w:t>，生活用水取</w:t>
                  </w:r>
                  <w:r>
                    <w:rPr>
                      <w:rFonts w:hint="eastAsia" w:ascii="Times New Roman" w:hAnsi="Times New Roman" w:eastAsia="宋体" w:cs="Times New Roman"/>
                      <w:color w:val="000000"/>
                      <w:sz w:val="18"/>
                      <w:szCs w:val="18"/>
                      <w:highlight w:val="none"/>
                      <w:lang w:eastAsia="zh-CN"/>
                    </w:rPr>
                    <w:t>自来水管网</w:t>
                  </w:r>
                  <w:r>
                    <w:rPr>
                      <w:rFonts w:hint="default" w:ascii="Times New Roman" w:hAnsi="Times New Roman" w:eastAsia="宋体" w:cs="Times New Roman"/>
                      <w:color w:val="000000"/>
                      <w:sz w:val="18"/>
                      <w:szCs w:val="18"/>
                      <w:highlight w:val="none"/>
                      <w:lang w:eastAsia="zh-CN"/>
                    </w:rPr>
                    <w:t>和购买桶装纯净水。</w:t>
                  </w:r>
                </w:p>
              </w:tc>
              <w:tc>
                <w:tcPr>
                  <w:tcW w:w="1125" w:type="dxa"/>
                  <w:tcBorders>
                    <w:tl2br w:val="nil"/>
                    <w:tr2bl w:val="nil"/>
                  </w:tcBorders>
                  <w:noWrap w:val="0"/>
                  <w:vAlign w:val="center"/>
                </w:tcPr>
                <w:p w14:paraId="787C3A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000000"/>
                      <w:sz w:val="18"/>
                      <w:szCs w:val="18"/>
                      <w:highlight w:val="none"/>
                      <w:lang w:eastAsia="zh-CN"/>
                    </w:rPr>
                  </w:pPr>
                  <w:r>
                    <w:rPr>
                      <w:rFonts w:hint="eastAsia" w:cs="Times New Roman"/>
                      <w:color w:val="000000"/>
                      <w:spacing w:val="0"/>
                      <w:position w:val="0"/>
                      <w:sz w:val="18"/>
                      <w:szCs w:val="18"/>
                      <w:highlight w:val="none"/>
                      <w:lang w:val="en-US" w:eastAsia="zh-CN"/>
                    </w:rPr>
                    <w:t>无变化</w:t>
                  </w:r>
                </w:p>
              </w:tc>
            </w:tr>
            <w:tr w14:paraId="3EC239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vMerge w:val="continue"/>
                  <w:tcBorders>
                    <w:tl2br w:val="nil"/>
                    <w:tr2bl w:val="nil"/>
                  </w:tcBorders>
                  <w:noWrap w:val="0"/>
                  <w:tcMar>
                    <w:top w:w="57" w:type="dxa"/>
                    <w:left w:w="28" w:type="dxa"/>
                    <w:bottom w:w="57" w:type="dxa"/>
                    <w:right w:w="28" w:type="dxa"/>
                  </w:tcMar>
                  <w:vAlign w:val="center"/>
                </w:tcPr>
                <w:p w14:paraId="020CA5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rPr>
                  </w:pPr>
                </w:p>
              </w:tc>
              <w:tc>
                <w:tcPr>
                  <w:tcW w:w="906" w:type="dxa"/>
                  <w:gridSpan w:val="2"/>
                  <w:tcBorders>
                    <w:tl2br w:val="nil"/>
                    <w:tr2bl w:val="nil"/>
                  </w:tcBorders>
                  <w:noWrap w:val="0"/>
                  <w:tcMar>
                    <w:top w:w="57" w:type="dxa"/>
                    <w:left w:w="28" w:type="dxa"/>
                    <w:bottom w:w="57" w:type="dxa"/>
                    <w:right w:w="28" w:type="dxa"/>
                  </w:tcMar>
                  <w:vAlign w:val="center"/>
                </w:tcPr>
                <w:p w14:paraId="7EC48CD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排水</w:t>
                  </w:r>
                </w:p>
              </w:tc>
              <w:tc>
                <w:tcPr>
                  <w:tcW w:w="3444" w:type="dxa"/>
                  <w:tcBorders>
                    <w:tl2br w:val="nil"/>
                    <w:tr2bl w:val="nil"/>
                  </w:tcBorders>
                  <w:noWrap w:val="0"/>
                  <w:vAlign w:val="center"/>
                </w:tcPr>
                <w:p w14:paraId="1844E95D">
                  <w:pPr>
                    <w:keepNext w:val="0"/>
                    <w:keepLines w:val="0"/>
                    <w:pageBreakBefore w:val="0"/>
                    <w:widowControl w:val="0"/>
                    <w:suppressLineNumbers w:val="0"/>
                    <w:kinsoku/>
                    <w:wordWrap/>
                    <w:overflowPunct/>
                    <w:topLinePunct w:val="0"/>
                    <w:bidi w:val="0"/>
                    <w:snapToGrid w:val="0"/>
                    <w:spacing w:line="240" w:lineRule="auto"/>
                    <w:jc w:val="left"/>
                    <w:textAlignment w:val="auto"/>
                    <w:rPr>
                      <w:rFonts w:hint="eastAsia" w:ascii="Times New Roman" w:hAnsi="Times New Roman" w:cs="Times New Roman"/>
                      <w:color w:val="000000"/>
                      <w:spacing w:val="0"/>
                      <w:position w:val="0"/>
                      <w:sz w:val="18"/>
                      <w:szCs w:val="18"/>
                      <w:highlight w:val="none"/>
                      <w:lang w:eastAsia="zh-CN"/>
                    </w:rPr>
                  </w:pPr>
                  <w:r>
                    <w:rPr>
                      <w:rFonts w:hint="eastAsia" w:ascii="Times New Roman" w:hAnsi="Times New Roman" w:cs="Times New Roman"/>
                      <w:color w:val="000000"/>
                      <w:spacing w:val="0"/>
                      <w:position w:val="0"/>
                      <w:sz w:val="18"/>
                      <w:szCs w:val="18"/>
                      <w:highlight w:val="none"/>
                      <w:lang w:eastAsia="zh-CN"/>
                    </w:rPr>
                    <w:t>雨污分流、清污分流。</w:t>
                  </w:r>
                </w:p>
                <w:p w14:paraId="3C002B7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sz w:val="18"/>
                      <w:szCs w:val="18"/>
                      <w:highlight w:val="none"/>
                    </w:rPr>
                  </w:pPr>
                  <w:r>
                    <w:rPr>
                      <w:rFonts w:hint="default" w:ascii="Times New Roman" w:hAnsi="Times New Roman" w:cs="Times New Roman"/>
                      <w:color w:val="000000"/>
                      <w:spacing w:val="0"/>
                      <w:position w:val="0"/>
                      <w:sz w:val="18"/>
                      <w:szCs w:val="18"/>
                      <w:highlight w:val="none"/>
                    </w:rPr>
                    <w:t>生产</w:t>
                  </w:r>
                  <w:r>
                    <w:rPr>
                      <w:rFonts w:hint="eastAsia" w:ascii="Times New Roman" w:hAnsi="Times New Roman" w:cs="Times New Roman"/>
                      <w:color w:val="000000"/>
                      <w:spacing w:val="0"/>
                      <w:position w:val="0"/>
                      <w:sz w:val="18"/>
                      <w:szCs w:val="18"/>
                      <w:highlight w:val="none"/>
                      <w:lang w:eastAsia="zh-CN"/>
                    </w:rPr>
                    <w:t>废水</w:t>
                  </w:r>
                  <w:r>
                    <w:rPr>
                      <w:rFonts w:hint="default" w:ascii="Times New Roman" w:hAnsi="Times New Roman" w:cs="Times New Roman"/>
                      <w:color w:val="000000"/>
                      <w:spacing w:val="0"/>
                      <w:position w:val="0"/>
                      <w:sz w:val="18"/>
                      <w:szCs w:val="18"/>
                      <w:highlight w:val="none"/>
                    </w:rPr>
                    <w:t>经由污水排水沟</w:t>
                  </w:r>
                  <w:r>
                    <w:rPr>
                      <w:rFonts w:hint="eastAsia" w:ascii="Times New Roman" w:hAnsi="Times New Roman" w:cs="Times New Roman"/>
                      <w:color w:val="000000"/>
                      <w:spacing w:val="0"/>
                      <w:position w:val="0"/>
                      <w:sz w:val="18"/>
                      <w:szCs w:val="18"/>
                      <w:highlight w:val="none"/>
                      <w:lang w:eastAsia="zh-CN"/>
                    </w:rPr>
                    <w:t>收集</w:t>
                  </w:r>
                  <w:r>
                    <w:rPr>
                      <w:rFonts w:hint="default" w:ascii="Times New Roman" w:hAnsi="Times New Roman" w:cs="Times New Roman"/>
                      <w:color w:val="000000"/>
                      <w:spacing w:val="0"/>
                      <w:position w:val="0"/>
                      <w:sz w:val="18"/>
                      <w:szCs w:val="18"/>
                      <w:highlight w:val="none"/>
                    </w:rPr>
                    <w:t>至</w:t>
                  </w:r>
                  <w:r>
                    <w:rPr>
                      <w:rFonts w:hint="eastAsia" w:ascii="Times New Roman" w:hAnsi="Times New Roman" w:cs="Times New Roman"/>
                      <w:color w:val="000000"/>
                      <w:spacing w:val="0"/>
                      <w:position w:val="0"/>
                      <w:sz w:val="18"/>
                      <w:szCs w:val="18"/>
                      <w:highlight w:val="none"/>
                      <w:lang w:eastAsia="zh-CN"/>
                    </w:rPr>
                    <w:t>矿区</w:t>
                  </w:r>
                  <w:r>
                    <w:rPr>
                      <w:rFonts w:hint="eastAsia" w:ascii="Times New Roman" w:hAnsi="Times New Roman" w:cs="Times New Roman"/>
                      <w:color w:val="000000"/>
                      <w:spacing w:val="0"/>
                      <w:position w:val="0"/>
                      <w:sz w:val="18"/>
                      <w:szCs w:val="18"/>
                      <w:highlight w:val="none"/>
                      <w:lang w:val="en-US" w:eastAsia="zh-CN"/>
                    </w:rPr>
                    <w:t>污水处理站</w:t>
                  </w:r>
                  <w:r>
                    <w:rPr>
                      <w:rFonts w:hint="default" w:ascii="Times New Roman" w:hAnsi="Times New Roman" w:cs="Times New Roman"/>
                      <w:color w:val="000000"/>
                      <w:spacing w:val="0"/>
                      <w:position w:val="0"/>
                      <w:sz w:val="18"/>
                      <w:szCs w:val="18"/>
                      <w:highlight w:val="none"/>
                    </w:rPr>
                    <w:t>处理后</w:t>
                  </w:r>
                  <w:r>
                    <w:rPr>
                      <w:rFonts w:hint="eastAsia" w:ascii="Times New Roman" w:hAnsi="Times New Roman" w:cs="Times New Roman"/>
                      <w:color w:val="000000"/>
                      <w:spacing w:val="0"/>
                      <w:position w:val="0"/>
                      <w:sz w:val="18"/>
                      <w:szCs w:val="18"/>
                      <w:highlight w:val="none"/>
                      <w:lang w:eastAsia="zh-CN"/>
                    </w:rPr>
                    <w:t>回用生产；</w:t>
                  </w:r>
                  <w:r>
                    <w:rPr>
                      <w:rFonts w:hint="eastAsia" w:ascii="Times New Roman" w:hAnsi="Times New Roman" w:cs="Times New Roman"/>
                      <w:color w:val="000000"/>
                      <w:spacing w:val="0"/>
                      <w:position w:val="0"/>
                      <w:sz w:val="18"/>
                      <w:szCs w:val="18"/>
                      <w:highlight w:val="none"/>
                      <w:lang w:val="en-US" w:eastAsia="zh-CN"/>
                    </w:rPr>
                    <w:t>初期雨水由初期雨水池收集经流域污水处理站处理后回用于生产，后期雨水导出境外排放；</w:t>
                  </w:r>
                  <w:r>
                    <w:rPr>
                      <w:rFonts w:hint="default" w:ascii="Times New Roman" w:hAnsi="Times New Roman" w:eastAsia="宋体" w:cs="Times New Roman"/>
                      <w:color w:val="000000"/>
                      <w:spacing w:val="0"/>
                      <w:position w:val="0"/>
                      <w:sz w:val="18"/>
                      <w:szCs w:val="18"/>
                      <w:highlight w:val="none"/>
                    </w:rPr>
                    <w:t>生活废水经</w:t>
                  </w:r>
                  <w:r>
                    <w:rPr>
                      <w:rFonts w:hint="eastAsia" w:ascii="Times New Roman" w:hAnsi="Times New Roman" w:eastAsia="宋体" w:cs="Times New Roman"/>
                      <w:color w:val="000000"/>
                      <w:spacing w:val="0"/>
                      <w:position w:val="0"/>
                      <w:sz w:val="18"/>
                      <w:szCs w:val="18"/>
                      <w:highlight w:val="none"/>
                      <w:lang w:val="en-US" w:eastAsia="zh-CN"/>
                    </w:rPr>
                    <w:t>一体化系统</w:t>
                  </w:r>
                  <w:r>
                    <w:rPr>
                      <w:rFonts w:hint="default" w:ascii="Times New Roman" w:hAnsi="Times New Roman" w:eastAsia="宋体" w:cs="Times New Roman"/>
                      <w:color w:val="000000"/>
                      <w:spacing w:val="0"/>
                      <w:position w:val="0"/>
                      <w:sz w:val="18"/>
                      <w:szCs w:val="18"/>
                      <w:highlight w:val="none"/>
                    </w:rPr>
                    <w:t>处理后</w:t>
                  </w:r>
                  <w:r>
                    <w:rPr>
                      <w:rFonts w:hint="eastAsia" w:ascii="Times New Roman" w:hAnsi="Times New Roman" w:cs="Times New Roman"/>
                      <w:color w:val="000000"/>
                      <w:spacing w:val="0"/>
                      <w:position w:val="0"/>
                      <w:sz w:val="18"/>
                      <w:szCs w:val="18"/>
                      <w:highlight w:val="none"/>
                      <w:lang w:eastAsia="zh-CN"/>
                    </w:rPr>
                    <w:t>回用生产</w:t>
                  </w:r>
                  <w:r>
                    <w:rPr>
                      <w:rFonts w:hint="default" w:ascii="Times New Roman" w:hAnsi="Times New Roman" w:eastAsia="宋体" w:cs="Times New Roman"/>
                      <w:color w:val="000000"/>
                      <w:spacing w:val="0"/>
                      <w:position w:val="0"/>
                      <w:sz w:val="18"/>
                      <w:szCs w:val="18"/>
                      <w:highlight w:val="none"/>
                    </w:rPr>
                    <w:t>。</w:t>
                  </w:r>
                </w:p>
              </w:tc>
              <w:tc>
                <w:tcPr>
                  <w:tcW w:w="3205" w:type="dxa"/>
                  <w:tcBorders>
                    <w:tl2br w:val="nil"/>
                    <w:tr2bl w:val="nil"/>
                  </w:tcBorders>
                  <w:noWrap w:val="0"/>
                  <w:vAlign w:val="center"/>
                </w:tcPr>
                <w:p w14:paraId="2878DFBD">
                  <w:pPr>
                    <w:keepNext w:val="0"/>
                    <w:keepLines w:val="0"/>
                    <w:pageBreakBefore w:val="0"/>
                    <w:widowControl w:val="0"/>
                    <w:suppressLineNumbers w:val="0"/>
                    <w:kinsoku/>
                    <w:wordWrap/>
                    <w:overflowPunct/>
                    <w:topLinePunct w:val="0"/>
                    <w:bidi w:val="0"/>
                    <w:snapToGrid w:val="0"/>
                    <w:spacing w:line="240" w:lineRule="auto"/>
                    <w:jc w:val="left"/>
                    <w:textAlignment w:val="auto"/>
                    <w:rPr>
                      <w:rFonts w:hint="eastAsia" w:ascii="Times New Roman" w:hAnsi="Times New Roman" w:cs="Times New Roman"/>
                      <w:color w:val="000000"/>
                      <w:spacing w:val="0"/>
                      <w:position w:val="0"/>
                      <w:sz w:val="18"/>
                      <w:szCs w:val="18"/>
                      <w:highlight w:val="none"/>
                      <w:lang w:eastAsia="zh-CN"/>
                    </w:rPr>
                  </w:pPr>
                  <w:r>
                    <w:rPr>
                      <w:rFonts w:hint="eastAsia" w:ascii="Times New Roman" w:hAnsi="Times New Roman" w:cs="Times New Roman"/>
                      <w:color w:val="000000"/>
                      <w:spacing w:val="0"/>
                      <w:position w:val="0"/>
                      <w:sz w:val="18"/>
                      <w:szCs w:val="18"/>
                      <w:highlight w:val="none"/>
                      <w:lang w:eastAsia="zh-CN"/>
                    </w:rPr>
                    <w:t>雨污分流、清污分流。</w:t>
                  </w:r>
                </w:p>
                <w:p w14:paraId="1746469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sz w:val="18"/>
                      <w:szCs w:val="18"/>
                      <w:highlight w:val="none"/>
                      <w:lang w:eastAsia="zh-CN"/>
                    </w:rPr>
                  </w:pPr>
                  <w:r>
                    <w:rPr>
                      <w:rFonts w:hint="default" w:ascii="Times New Roman" w:hAnsi="Times New Roman" w:cs="Times New Roman"/>
                      <w:color w:val="000000"/>
                      <w:spacing w:val="0"/>
                      <w:position w:val="0"/>
                      <w:sz w:val="18"/>
                      <w:szCs w:val="18"/>
                      <w:highlight w:val="none"/>
                    </w:rPr>
                    <w:t>生产</w:t>
                  </w:r>
                  <w:r>
                    <w:rPr>
                      <w:rFonts w:hint="eastAsia" w:ascii="Times New Roman" w:hAnsi="Times New Roman" w:cs="Times New Roman"/>
                      <w:color w:val="000000"/>
                      <w:spacing w:val="0"/>
                      <w:position w:val="0"/>
                      <w:sz w:val="18"/>
                      <w:szCs w:val="18"/>
                      <w:highlight w:val="none"/>
                      <w:lang w:eastAsia="zh-CN"/>
                    </w:rPr>
                    <w:t>废水</w:t>
                  </w:r>
                  <w:r>
                    <w:rPr>
                      <w:rFonts w:hint="default" w:ascii="Times New Roman" w:hAnsi="Times New Roman" w:cs="Times New Roman"/>
                      <w:color w:val="000000"/>
                      <w:spacing w:val="0"/>
                      <w:position w:val="0"/>
                      <w:sz w:val="18"/>
                      <w:szCs w:val="18"/>
                      <w:highlight w:val="none"/>
                    </w:rPr>
                    <w:t>经由污水排水沟</w:t>
                  </w:r>
                  <w:r>
                    <w:rPr>
                      <w:rFonts w:hint="eastAsia" w:ascii="Times New Roman" w:hAnsi="Times New Roman" w:cs="Times New Roman"/>
                      <w:color w:val="000000"/>
                      <w:spacing w:val="0"/>
                      <w:position w:val="0"/>
                      <w:sz w:val="18"/>
                      <w:szCs w:val="18"/>
                      <w:highlight w:val="none"/>
                      <w:lang w:eastAsia="zh-CN"/>
                    </w:rPr>
                    <w:t>收集</w:t>
                  </w:r>
                  <w:r>
                    <w:rPr>
                      <w:rFonts w:hint="default" w:ascii="Times New Roman" w:hAnsi="Times New Roman" w:cs="Times New Roman"/>
                      <w:color w:val="000000"/>
                      <w:spacing w:val="0"/>
                      <w:position w:val="0"/>
                      <w:sz w:val="18"/>
                      <w:szCs w:val="18"/>
                      <w:highlight w:val="none"/>
                    </w:rPr>
                    <w:t>至</w:t>
                  </w:r>
                  <w:r>
                    <w:rPr>
                      <w:rFonts w:hint="eastAsia" w:ascii="Times New Roman" w:hAnsi="Times New Roman" w:cs="Times New Roman"/>
                      <w:color w:val="000000"/>
                      <w:spacing w:val="0"/>
                      <w:position w:val="0"/>
                      <w:sz w:val="18"/>
                      <w:szCs w:val="18"/>
                      <w:highlight w:val="none"/>
                      <w:lang w:eastAsia="zh-CN"/>
                    </w:rPr>
                    <w:t>矿区</w:t>
                  </w:r>
                  <w:r>
                    <w:rPr>
                      <w:rFonts w:hint="eastAsia" w:ascii="Times New Roman" w:hAnsi="Times New Roman" w:cs="Times New Roman"/>
                      <w:color w:val="000000"/>
                      <w:spacing w:val="0"/>
                      <w:position w:val="0"/>
                      <w:sz w:val="18"/>
                      <w:szCs w:val="18"/>
                      <w:highlight w:val="none"/>
                      <w:lang w:val="en-US" w:eastAsia="zh-CN"/>
                    </w:rPr>
                    <w:t>污水处理站</w:t>
                  </w:r>
                  <w:r>
                    <w:rPr>
                      <w:rFonts w:hint="default" w:ascii="Times New Roman" w:hAnsi="Times New Roman" w:cs="Times New Roman"/>
                      <w:color w:val="000000"/>
                      <w:spacing w:val="0"/>
                      <w:position w:val="0"/>
                      <w:sz w:val="18"/>
                      <w:szCs w:val="18"/>
                      <w:highlight w:val="none"/>
                    </w:rPr>
                    <w:t>处理后</w:t>
                  </w:r>
                  <w:r>
                    <w:rPr>
                      <w:rFonts w:hint="eastAsia" w:ascii="Times New Roman" w:hAnsi="Times New Roman" w:cs="Times New Roman"/>
                      <w:color w:val="000000"/>
                      <w:spacing w:val="0"/>
                      <w:position w:val="0"/>
                      <w:sz w:val="18"/>
                      <w:szCs w:val="18"/>
                      <w:highlight w:val="none"/>
                      <w:lang w:eastAsia="zh-CN"/>
                    </w:rPr>
                    <w:t>回用生产；</w:t>
                  </w:r>
                  <w:r>
                    <w:rPr>
                      <w:rFonts w:hint="eastAsia" w:ascii="Times New Roman" w:hAnsi="Times New Roman" w:cs="Times New Roman"/>
                      <w:color w:val="000000"/>
                      <w:spacing w:val="0"/>
                      <w:position w:val="0"/>
                      <w:sz w:val="18"/>
                      <w:szCs w:val="18"/>
                      <w:highlight w:val="none"/>
                      <w:lang w:val="en-US" w:eastAsia="zh-CN"/>
                    </w:rPr>
                    <w:t>初期雨水由初期雨水池收集经流域污水处理站处理后回用于生产，后期雨水导出境外排放；</w:t>
                  </w:r>
                  <w:r>
                    <w:rPr>
                      <w:rFonts w:hint="default" w:ascii="Times New Roman" w:hAnsi="Times New Roman" w:eastAsia="宋体" w:cs="Times New Roman"/>
                      <w:color w:val="000000"/>
                      <w:spacing w:val="0"/>
                      <w:position w:val="0"/>
                      <w:sz w:val="18"/>
                      <w:szCs w:val="18"/>
                      <w:highlight w:val="none"/>
                    </w:rPr>
                    <w:t>生活废水经</w:t>
                  </w:r>
                  <w:r>
                    <w:rPr>
                      <w:rFonts w:hint="eastAsia" w:ascii="Times New Roman" w:hAnsi="Times New Roman" w:eastAsia="宋体" w:cs="Times New Roman"/>
                      <w:color w:val="000000"/>
                      <w:spacing w:val="0"/>
                      <w:position w:val="0"/>
                      <w:sz w:val="18"/>
                      <w:szCs w:val="18"/>
                      <w:highlight w:val="none"/>
                      <w:lang w:val="en-US" w:eastAsia="zh-CN"/>
                    </w:rPr>
                    <w:t>一体化系统</w:t>
                  </w:r>
                  <w:r>
                    <w:rPr>
                      <w:rFonts w:hint="default" w:ascii="Times New Roman" w:hAnsi="Times New Roman" w:eastAsia="宋体" w:cs="Times New Roman"/>
                      <w:color w:val="000000"/>
                      <w:spacing w:val="0"/>
                      <w:position w:val="0"/>
                      <w:sz w:val="18"/>
                      <w:szCs w:val="18"/>
                      <w:highlight w:val="none"/>
                    </w:rPr>
                    <w:t>处理后</w:t>
                  </w:r>
                  <w:r>
                    <w:rPr>
                      <w:rFonts w:hint="eastAsia" w:ascii="Times New Roman" w:hAnsi="Times New Roman" w:cs="Times New Roman"/>
                      <w:color w:val="000000"/>
                      <w:spacing w:val="0"/>
                      <w:position w:val="0"/>
                      <w:sz w:val="18"/>
                      <w:szCs w:val="18"/>
                      <w:highlight w:val="none"/>
                      <w:lang w:eastAsia="zh-CN"/>
                    </w:rPr>
                    <w:t>回用生产</w:t>
                  </w:r>
                  <w:r>
                    <w:rPr>
                      <w:rFonts w:hint="default" w:ascii="Times New Roman" w:hAnsi="Times New Roman" w:eastAsia="宋体" w:cs="Times New Roman"/>
                      <w:color w:val="000000"/>
                      <w:spacing w:val="0"/>
                      <w:position w:val="0"/>
                      <w:sz w:val="18"/>
                      <w:szCs w:val="18"/>
                      <w:highlight w:val="none"/>
                    </w:rPr>
                    <w:t>。</w:t>
                  </w:r>
                </w:p>
              </w:tc>
              <w:tc>
                <w:tcPr>
                  <w:tcW w:w="1125" w:type="dxa"/>
                  <w:tcBorders>
                    <w:tl2br w:val="nil"/>
                    <w:tr2bl w:val="nil"/>
                  </w:tcBorders>
                  <w:noWrap w:val="0"/>
                  <w:vAlign w:val="center"/>
                </w:tcPr>
                <w:p w14:paraId="638758F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pacing w:val="0"/>
                      <w:position w:val="0"/>
                      <w:sz w:val="18"/>
                      <w:szCs w:val="18"/>
                      <w:highlight w:val="none"/>
                      <w:lang w:val="en-US" w:eastAsia="zh-CN"/>
                    </w:rPr>
                  </w:pPr>
                  <w:r>
                    <w:rPr>
                      <w:rFonts w:hint="eastAsia" w:cs="Times New Roman"/>
                      <w:color w:val="000000"/>
                      <w:spacing w:val="0"/>
                      <w:position w:val="0"/>
                      <w:sz w:val="18"/>
                      <w:szCs w:val="18"/>
                      <w:highlight w:val="none"/>
                      <w:lang w:val="en-US" w:eastAsia="zh-CN"/>
                    </w:rPr>
                    <w:t>无变化</w:t>
                  </w:r>
                </w:p>
              </w:tc>
            </w:tr>
            <w:tr w14:paraId="398969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vMerge w:val="continue"/>
                  <w:tcBorders>
                    <w:tl2br w:val="nil"/>
                    <w:tr2bl w:val="nil"/>
                  </w:tcBorders>
                  <w:noWrap w:val="0"/>
                  <w:tcMar>
                    <w:top w:w="57" w:type="dxa"/>
                    <w:left w:w="28" w:type="dxa"/>
                    <w:bottom w:w="57" w:type="dxa"/>
                    <w:right w:w="28" w:type="dxa"/>
                  </w:tcMar>
                  <w:vAlign w:val="center"/>
                </w:tcPr>
                <w:p w14:paraId="1B9094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 xml:space="preserve"> </w:t>
                  </w:r>
                </w:p>
              </w:tc>
              <w:tc>
                <w:tcPr>
                  <w:tcW w:w="906" w:type="dxa"/>
                  <w:gridSpan w:val="2"/>
                  <w:tcBorders>
                    <w:tl2br w:val="nil"/>
                    <w:tr2bl w:val="nil"/>
                  </w:tcBorders>
                  <w:noWrap w:val="0"/>
                  <w:tcMar>
                    <w:top w:w="57" w:type="dxa"/>
                    <w:left w:w="28" w:type="dxa"/>
                    <w:bottom w:w="57" w:type="dxa"/>
                    <w:right w:w="28" w:type="dxa"/>
                  </w:tcMar>
                  <w:vAlign w:val="center"/>
                </w:tcPr>
                <w:p w14:paraId="763222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供电</w:t>
                  </w:r>
                </w:p>
              </w:tc>
              <w:tc>
                <w:tcPr>
                  <w:tcW w:w="3444" w:type="dxa"/>
                  <w:tcBorders>
                    <w:tl2br w:val="nil"/>
                    <w:tr2bl w:val="nil"/>
                  </w:tcBorders>
                  <w:noWrap w:val="0"/>
                  <w:vAlign w:val="center"/>
                </w:tcPr>
                <w:p w14:paraId="6B2AC9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color w:val="000000"/>
                      <w:kern w:val="2"/>
                      <w:sz w:val="18"/>
                      <w:szCs w:val="18"/>
                      <w:highlight w:val="none"/>
                      <w:lang w:val="zh-CN" w:eastAsia="zh-CN" w:bidi="ar-SA"/>
                    </w:rPr>
                    <w:t>矿区已从附近乡镇变电站架入10千伏高压电源至本矿区变、配电房，可为矿山开发提供充足的电力能源保障</w:t>
                  </w:r>
                  <w:r>
                    <w:rPr>
                      <w:rFonts w:hint="eastAsia" w:ascii="Times New Roman" w:hAnsi="Times New Roman" w:eastAsia="宋体" w:cs="Times New Roman"/>
                      <w:color w:val="000000"/>
                      <w:kern w:val="2"/>
                      <w:sz w:val="18"/>
                      <w:szCs w:val="18"/>
                      <w:highlight w:val="none"/>
                      <w:lang w:val="zh-CN" w:eastAsia="zh-CN" w:bidi="ar-SA"/>
                    </w:rPr>
                    <w:t>。</w:t>
                  </w:r>
                </w:p>
              </w:tc>
              <w:tc>
                <w:tcPr>
                  <w:tcW w:w="3205" w:type="dxa"/>
                  <w:tcBorders>
                    <w:tl2br w:val="nil"/>
                    <w:tr2bl w:val="nil"/>
                  </w:tcBorders>
                  <w:noWrap w:val="0"/>
                  <w:vAlign w:val="center"/>
                </w:tcPr>
                <w:p w14:paraId="5205807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color w:val="000000"/>
                      <w:kern w:val="2"/>
                      <w:sz w:val="18"/>
                      <w:szCs w:val="18"/>
                      <w:highlight w:val="none"/>
                      <w:lang w:val="zh-CN" w:eastAsia="zh-CN" w:bidi="ar-SA"/>
                    </w:rPr>
                    <w:t>矿区已从附近乡镇变电站架入10千伏高压电源至本矿区变、配电房，可为矿山开发提供充足的电力能源保障</w:t>
                  </w:r>
                  <w:r>
                    <w:rPr>
                      <w:rFonts w:hint="eastAsia" w:ascii="Times New Roman" w:hAnsi="Times New Roman" w:eastAsia="宋体" w:cs="Times New Roman"/>
                      <w:color w:val="000000"/>
                      <w:kern w:val="2"/>
                      <w:sz w:val="18"/>
                      <w:szCs w:val="18"/>
                      <w:highlight w:val="none"/>
                      <w:lang w:val="zh-CN" w:eastAsia="zh-CN" w:bidi="ar-SA"/>
                    </w:rPr>
                    <w:t>。</w:t>
                  </w:r>
                </w:p>
              </w:tc>
              <w:tc>
                <w:tcPr>
                  <w:tcW w:w="1125" w:type="dxa"/>
                  <w:tcBorders>
                    <w:tl2br w:val="nil"/>
                    <w:tr2bl w:val="nil"/>
                  </w:tcBorders>
                  <w:noWrap w:val="0"/>
                  <w:vAlign w:val="center"/>
                </w:tcPr>
                <w:p w14:paraId="4D220C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lang w:eastAsia="zh-CN"/>
                    </w:rPr>
                  </w:pPr>
                  <w:r>
                    <w:rPr>
                      <w:rFonts w:hint="eastAsia" w:cs="Times New Roman"/>
                      <w:color w:val="000000"/>
                      <w:spacing w:val="0"/>
                      <w:position w:val="0"/>
                      <w:sz w:val="18"/>
                      <w:szCs w:val="18"/>
                      <w:highlight w:val="none"/>
                      <w:lang w:val="en-US" w:eastAsia="zh-CN"/>
                    </w:rPr>
                    <w:t>无变化</w:t>
                  </w:r>
                </w:p>
              </w:tc>
            </w:tr>
            <w:tr w14:paraId="6BB43F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vMerge w:val="continue"/>
                  <w:tcBorders>
                    <w:tl2br w:val="nil"/>
                    <w:tr2bl w:val="nil"/>
                  </w:tcBorders>
                  <w:noWrap w:val="0"/>
                  <w:tcMar>
                    <w:top w:w="57" w:type="dxa"/>
                    <w:left w:w="28" w:type="dxa"/>
                    <w:bottom w:w="57" w:type="dxa"/>
                    <w:right w:w="28" w:type="dxa"/>
                  </w:tcMar>
                  <w:vAlign w:val="center"/>
                </w:tcPr>
                <w:p w14:paraId="7CE17C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rPr>
                  </w:pPr>
                </w:p>
              </w:tc>
              <w:tc>
                <w:tcPr>
                  <w:tcW w:w="906" w:type="dxa"/>
                  <w:gridSpan w:val="2"/>
                  <w:tcBorders>
                    <w:tl2br w:val="nil"/>
                    <w:tr2bl w:val="nil"/>
                  </w:tcBorders>
                  <w:noWrap w:val="0"/>
                  <w:tcMar>
                    <w:top w:w="57" w:type="dxa"/>
                    <w:left w:w="28" w:type="dxa"/>
                    <w:bottom w:w="57" w:type="dxa"/>
                    <w:right w:w="28" w:type="dxa"/>
                  </w:tcMar>
                  <w:vAlign w:val="center"/>
                </w:tcPr>
                <w:p w14:paraId="1E9F50E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制冷供热</w:t>
                  </w:r>
                </w:p>
              </w:tc>
              <w:tc>
                <w:tcPr>
                  <w:tcW w:w="3444" w:type="dxa"/>
                  <w:tcBorders>
                    <w:tl2br w:val="nil"/>
                    <w:tr2bl w:val="nil"/>
                  </w:tcBorders>
                  <w:noWrap w:val="0"/>
                  <w:vAlign w:val="center"/>
                </w:tcPr>
                <w:p w14:paraId="4BC5AB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color w:val="000000"/>
                      <w:sz w:val="18"/>
                      <w:szCs w:val="18"/>
                      <w:highlight w:val="none"/>
                    </w:rPr>
                    <w:t>项目无集中制冷供热设备，生产过程中无需制冷及供热。</w:t>
                  </w:r>
                </w:p>
              </w:tc>
              <w:tc>
                <w:tcPr>
                  <w:tcW w:w="3205" w:type="dxa"/>
                  <w:tcBorders>
                    <w:tl2br w:val="nil"/>
                    <w:tr2bl w:val="nil"/>
                  </w:tcBorders>
                  <w:noWrap w:val="0"/>
                  <w:vAlign w:val="center"/>
                </w:tcPr>
                <w:p w14:paraId="1D9C20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color w:val="000000"/>
                      <w:sz w:val="18"/>
                      <w:szCs w:val="18"/>
                      <w:highlight w:val="none"/>
                    </w:rPr>
                    <w:t>项目无集中制冷供热设备，生产过程中无需制冷及供热。</w:t>
                  </w:r>
                </w:p>
              </w:tc>
              <w:tc>
                <w:tcPr>
                  <w:tcW w:w="1125" w:type="dxa"/>
                  <w:tcBorders>
                    <w:tl2br w:val="nil"/>
                    <w:tr2bl w:val="nil"/>
                  </w:tcBorders>
                  <w:noWrap w:val="0"/>
                  <w:vAlign w:val="center"/>
                </w:tcPr>
                <w:p w14:paraId="75CFAB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lang w:val="en-US" w:eastAsia="zh-CN"/>
                    </w:rPr>
                  </w:pPr>
                  <w:r>
                    <w:rPr>
                      <w:rFonts w:hint="eastAsia" w:cs="Times New Roman"/>
                      <w:color w:val="000000"/>
                      <w:spacing w:val="0"/>
                      <w:position w:val="0"/>
                      <w:sz w:val="18"/>
                      <w:szCs w:val="18"/>
                      <w:highlight w:val="none"/>
                      <w:lang w:val="en-US" w:eastAsia="zh-CN"/>
                    </w:rPr>
                    <w:t>无变化</w:t>
                  </w:r>
                </w:p>
              </w:tc>
            </w:tr>
            <w:tr w14:paraId="171EAE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vMerge w:val="continue"/>
                  <w:tcBorders>
                    <w:tl2br w:val="nil"/>
                    <w:tr2bl w:val="nil"/>
                  </w:tcBorders>
                  <w:noWrap w:val="0"/>
                  <w:tcMar>
                    <w:top w:w="57" w:type="dxa"/>
                    <w:left w:w="28" w:type="dxa"/>
                    <w:bottom w:w="57" w:type="dxa"/>
                    <w:right w:w="28" w:type="dxa"/>
                  </w:tcMar>
                  <w:vAlign w:val="center"/>
                </w:tcPr>
                <w:p w14:paraId="4C41C02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rPr>
                  </w:pPr>
                </w:p>
              </w:tc>
              <w:tc>
                <w:tcPr>
                  <w:tcW w:w="906" w:type="dxa"/>
                  <w:gridSpan w:val="2"/>
                  <w:tcBorders>
                    <w:tl2br w:val="nil"/>
                    <w:tr2bl w:val="nil"/>
                  </w:tcBorders>
                  <w:noWrap w:val="0"/>
                  <w:tcMar>
                    <w:top w:w="57" w:type="dxa"/>
                    <w:left w:w="28" w:type="dxa"/>
                    <w:bottom w:w="57" w:type="dxa"/>
                    <w:right w:w="28" w:type="dxa"/>
                  </w:tcMar>
                  <w:vAlign w:val="center"/>
                </w:tcPr>
                <w:p w14:paraId="517913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供风</w:t>
                  </w:r>
                </w:p>
              </w:tc>
              <w:tc>
                <w:tcPr>
                  <w:tcW w:w="3444" w:type="dxa"/>
                  <w:tcBorders>
                    <w:tl2br w:val="nil"/>
                    <w:tr2bl w:val="nil"/>
                  </w:tcBorders>
                  <w:noWrap w:val="0"/>
                  <w:vAlign w:val="center"/>
                </w:tcPr>
                <w:p w14:paraId="55C323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color w:val="000000"/>
                      <w:sz w:val="18"/>
                      <w:szCs w:val="18"/>
                      <w:highlight w:val="none"/>
                    </w:rPr>
                    <w:t>矿山采场采用自然通风</w:t>
                  </w:r>
                </w:p>
              </w:tc>
              <w:tc>
                <w:tcPr>
                  <w:tcW w:w="3205" w:type="dxa"/>
                  <w:tcBorders>
                    <w:tl2br w:val="nil"/>
                    <w:tr2bl w:val="nil"/>
                  </w:tcBorders>
                  <w:noWrap w:val="0"/>
                  <w:vAlign w:val="center"/>
                </w:tcPr>
                <w:p w14:paraId="471AA8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color w:val="000000"/>
                      <w:sz w:val="18"/>
                      <w:szCs w:val="18"/>
                      <w:highlight w:val="none"/>
                    </w:rPr>
                    <w:t>矿山采场采用自然通风</w:t>
                  </w:r>
                </w:p>
              </w:tc>
              <w:tc>
                <w:tcPr>
                  <w:tcW w:w="1125" w:type="dxa"/>
                  <w:tcBorders>
                    <w:tl2br w:val="nil"/>
                    <w:tr2bl w:val="nil"/>
                  </w:tcBorders>
                  <w:noWrap w:val="0"/>
                  <w:vAlign w:val="center"/>
                </w:tcPr>
                <w:p w14:paraId="7BE930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lang w:val="en-US" w:eastAsia="zh-CN"/>
                    </w:rPr>
                  </w:pPr>
                  <w:r>
                    <w:rPr>
                      <w:rFonts w:hint="eastAsia" w:cs="Times New Roman"/>
                      <w:color w:val="000000"/>
                      <w:spacing w:val="0"/>
                      <w:position w:val="0"/>
                      <w:sz w:val="18"/>
                      <w:szCs w:val="18"/>
                      <w:highlight w:val="none"/>
                      <w:lang w:val="en-US" w:eastAsia="zh-CN"/>
                    </w:rPr>
                    <w:t>无变化</w:t>
                  </w:r>
                </w:p>
              </w:tc>
            </w:tr>
            <w:tr w14:paraId="2054A4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vMerge w:val="restart"/>
                  <w:tcBorders>
                    <w:tl2br w:val="nil"/>
                    <w:tr2bl w:val="nil"/>
                  </w:tcBorders>
                  <w:noWrap w:val="0"/>
                  <w:tcMar>
                    <w:top w:w="57" w:type="dxa"/>
                    <w:left w:w="28" w:type="dxa"/>
                    <w:bottom w:w="57" w:type="dxa"/>
                    <w:right w:w="28" w:type="dxa"/>
                  </w:tcMar>
                  <w:vAlign w:val="center"/>
                </w:tcPr>
                <w:p w14:paraId="41F1E0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环保工程</w:t>
                  </w:r>
                </w:p>
              </w:tc>
              <w:tc>
                <w:tcPr>
                  <w:tcW w:w="906" w:type="dxa"/>
                  <w:gridSpan w:val="2"/>
                  <w:tcBorders>
                    <w:tl2br w:val="nil"/>
                    <w:tr2bl w:val="nil"/>
                  </w:tcBorders>
                  <w:noWrap w:val="0"/>
                  <w:tcMar>
                    <w:top w:w="57" w:type="dxa"/>
                    <w:left w:w="28" w:type="dxa"/>
                    <w:bottom w:w="57" w:type="dxa"/>
                    <w:right w:w="28" w:type="dxa"/>
                  </w:tcMar>
                  <w:vAlign w:val="center"/>
                </w:tcPr>
                <w:p w14:paraId="502C09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0"/>
                      <w:position w:val="0"/>
                      <w:sz w:val="18"/>
                      <w:szCs w:val="18"/>
                      <w:highlight w:val="none"/>
                    </w:rPr>
                    <w:t>废气处理</w:t>
                  </w:r>
                </w:p>
              </w:tc>
              <w:tc>
                <w:tcPr>
                  <w:tcW w:w="3444" w:type="dxa"/>
                  <w:tcBorders>
                    <w:tl2br w:val="nil"/>
                    <w:tr2bl w:val="nil"/>
                  </w:tcBorders>
                  <w:noWrap w:val="0"/>
                  <w:vAlign w:val="center"/>
                </w:tcPr>
                <w:p w14:paraId="6BAB83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color w:val="000000"/>
                      <w:spacing w:val="0"/>
                      <w:position w:val="0"/>
                      <w:sz w:val="18"/>
                      <w:szCs w:val="18"/>
                      <w:highlight w:val="none"/>
                    </w:rPr>
                  </w:pPr>
                  <w:r>
                    <w:rPr>
                      <w:rFonts w:hint="default" w:ascii="Times New Roman" w:hAnsi="Times New Roman" w:eastAsia="宋体" w:cs="Times New Roman"/>
                      <w:color w:val="000000"/>
                      <w:spacing w:val="0"/>
                      <w:position w:val="0"/>
                      <w:sz w:val="18"/>
                      <w:szCs w:val="18"/>
                      <w:highlight w:val="none"/>
                    </w:rPr>
                    <w:t>项目生产过程中产生的废气</w:t>
                  </w:r>
                  <w:r>
                    <w:rPr>
                      <w:rFonts w:hint="eastAsia" w:ascii="Times New Roman" w:hAnsi="Times New Roman" w:eastAsia="宋体" w:cs="Times New Roman"/>
                      <w:color w:val="000000"/>
                      <w:spacing w:val="0"/>
                      <w:position w:val="0"/>
                      <w:sz w:val="18"/>
                      <w:szCs w:val="18"/>
                      <w:highlight w:val="none"/>
                      <w:lang w:eastAsia="zh-CN"/>
                    </w:rPr>
                    <w:t>有</w:t>
                  </w:r>
                  <w:r>
                    <w:rPr>
                      <w:rFonts w:hint="default" w:ascii="Times New Roman" w:hAnsi="Times New Roman" w:eastAsia="宋体" w:cs="Times New Roman"/>
                      <w:color w:val="000000"/>
                      <w:spacing w:val="0"/>
                      <w:position w:val="0"/>
                      <w:sz w:val="18"/>
                      <w:szCs w:val="18"/>
                      <w:highlight w:val="none"/>
                    </w:rPr>
                    <w:t>切割</w:t>
                  </w:r>
                  <w:r>
                    <w:rPr>
                      <w:rFonts w:hint="eastAsia" w:ascii="Times New Roman" w:hAnsi="Times New Roman" w:eastAsia="宋体" w:cs="Times New Roman"/>
                      <w:color w:val="000000"/>
                      <w:spacing w:val="0"/>
                      <w:position w:val="0"/>
                      <w:sz w:val="18"/>
                      <w:szCs w:val="18"/>
                      <w:highlight w:val="none"/>
                      <w:lang w:val="en-US" w:eastAsia="zh-CN"/>
                    </w:rPr>
                    <w:t>分离</w:t>
                  </w:r>
                  <w:r>
                    <w:rPr>
                      <w:rFonts w:hint="default" w:ascii="Times New Roman" w:hAnsi="Times New Roman" w:eastAsia="宋体" w:cs="Times New Roman"/>
                      <w:color w:val="000000"/>
                      <w:spacing w:val="0"/>
                      <w:position w:val="0"/>
                      <w:sz w:val="18"/>
                      <w:szCs w:val="18"/>
                      <w:highlight w:val="none"/>
                    </w:rPr>
                    <w:t>粉尘、装卸扬尘、运输扬尘、动力机械燃油尾气、食堂油烟，现采取的防治措施如下：</w:t>
                  </w:r>
                </w:p>
                <w:p w14:paraId="35B099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eastAsia" w:ascii="Times New Roman" w:hAnsi="Times New Roman" w:eastAsia="宋体" w:cs="Times New Roman"/>
                      <w:color w:val="000000"/>
                      <w:spacing w:val="0"/>
                      <w:position w:val="0"/>
                      <w:sz w:val="18"/>
                      <w:szCs w:val="18"/>
                      <w:highlight w:val="none"/>
                      <w:lang w:eastAsia="zh-CN"/>
                    </w:rPr>
                  </w:pPr>
                  <w:r>
                    <w:rPr>
                      <w:rFonts w:hint="default" w:ascii="Times New Roman" w:hAnsi="Times New Roman" w:eastAsia="宋体" w:cs="Times New Roman"/>
                      <w:color w:val="000000"/>
                      <w:spacing w:val="0"/>
                      <w:position w:val="0"/>
                      <w:sz w:val="18"/>
                      <w:szCs w:val="18"/>
                      <w:highlight w:val="none"/>
                    </w:rPr>
                    <w:fldChar w:fldCharType="begin"/>
                  </w:r>
                  <w:r>
                    <w:rPr>
                      <w:rFonts w:hint="default" w:ascii="Times New Roman" w:hAnsi="Times New Roman" w:eastAsia="宋体" w:cs="Times New Roman"/>
                      <w:color w:val="000000"/>
                      <w:spacing w:val="0"/>
                      <w:position w:val="0"/>
                      <w:sz w:val="18"/>
                      <w:szCs w:val="18"/>
                      <w:highlight w:val="none"/>
                    </w:rPr>
                    <w:instrText xml:space="preserve"> = 1 \* GB3 </w:instrText>
                  </w:r>
                  <w:r>
                    <w:rPr>
                      <w:rFonts w:hint="default" w:ascii="Times New Roman" w:hAnsi="Times New Roman" w:eastAsia="宋体" w:cs="Times New Roman"/>
                      <w:color w:val="000000"/>
                      <w:spacing w:val="0"/>
                      <w:position w:val="0"/>
                      <w:sz w:val="18"/>
                      <w:szCs w:val="18"/>
                      <w:highlight w:val="none"/>
                    </w:rPr>
                    <w:fldChar w:fldCharType="separate"/>
                  </w:r>
                  <w:r>
                    <w:rPr>
                      <w:rFonts w:hint="default" w:ascii="Times New Roman" w:hAnsi="Times New Roman" w:eastAsia="宋体" w:cs="Times New Roman"/>
                      <w:color w:val="000000"/>
                      <w:spacing w:val="0"/>
                      <w:position w:val="0"/>
                      <w:sz w:val="18"/>
                      <w:szCs w:val="18"/>
                      <w:highlight w:val="none"/>
                    </w:rPr>
                    <w:t>①</w:t>
                  </w:r>
                  <w:r>
                    <w:rPr>
                      <w:rFonts w:hint="default" w:ascii="Times New Roman" w:hAnsi="Times New Roman" w:eastAsia="宋体" w:cs="Times New Roman"/>
                      <w:color w:val="000000"/>
                      <w:spacing w:val="0"/>
                      <w:position w:val="0"/>
                      <w:sz w:val="18"/>
                      <w:szCs w:val="18"/>
                      <w:highlight w:val="none"/>
                    </w:rPr>
                    <w:fldChar w:fldCharType="end"/>
                  </w:r>
                  <w:r>
                    <w:rPr>
                      <w:rFonts w:hint="eastAsia" w:ascii="Times New Roman" w:hAnsi="Times New Roman" w:eastAsia="宋体" w:cs="Times New Roman"/>
                      <w:color w:val="000000"/>
                      <w:spacing w:val="0"/>
                      <w:position w:val="0"/>
                      <w:sz w:val="18"/>
                      <w:szCs w:val="18"/>
                      <w:highlight w:val="none"/>
                      <w:lang w:eastAsia="zh-CN"/>
                    </w:rPr>
                    <w:t>切割</w:t>
                  </w:r>
                  <w:r>
                    <w:rPr>
                      <w:rFonts w:hint="eastAsia" w:ascii="Times New Roman" w:hAnsi="Times New Roman" w:eastAsia="宋体" w:cs="Times New Roman"/>
                      <w:color w:val="000000"/>
                      <w:spacing w:val="0"/>
                      <w:position w:val="0"/>
                      <w:sz w:val="18"/>
                      <w:szCs w:val="18"/>
                      <w:highlight w:val="none"/>
                      <w:lang w:val="en-US" w:eastAsia="zh-CN"/>
                    </w:rPr>
                    <w:t>分离</w:t>
                  </w:r>
                  <w:r>
                    <w:rPr>
                      <w:rFonts w:hint="default" w:ascii="Times New Roman" w:hAnsi="Times New Roman" w:eastAsia="宋体" w:cs="Times New Roman"/>
                      <w:color w:val="000000"/>
                      <w:spacing w:val="0"/>
                      <w:position w:val="0"/>
                      <w:sz w:val="18"/>
                      <w:szCs w:val="18"/>
                      <w:highlight w:val="none"/>
                    </w:rPr>
                    <w:t>粉尘</w:t>
                  </w:r>
                  <w:r>
                    <w:rPr>
                      <w:rFonts w:hint="eastAsia" w:ascii="Times New Roman" w:hAnsi="Times New Roman" w:eastAsia="宋体" w:cs="Times New Roman"/>
                      <w:color w:val="000000"/>
                      <w:spacing w:val="0"/>
                      <w:position w:val="0"/>
                      <w:sz w:val="18"/>
                      <w:szCs w:val="18"/>
                      <w:highlight w:val="none"/>
                      <w:lang w:eastAsia="zh-CN"/>
                    </w:rPr>
                    <w:t>：采取湿法切割</w:t>
                  </w:r>
                  <w:r>
                    <w:rPr>
                      <w:rFonts w:hint="default" w:ascii="Times New Roman" w:hAnsi="Times New Roman" w:eastAsia="宋体" w:cs="Times New Roman"/>
                      <w:color w:val="000000"/>
                      <w:spacing w:val="0"/>
                      <w:position w:val="0"/>
                      <w:sz w:val="18"/>
                      <w:szCs w:val="18"/>
                      <w:highlight w:val="none"/>
                    </w:rPr>
                    <w:t>，同时采取洒水降尘</w:t>
                  </w:r>
                  <w:r>
                    <w:rPr>
                      <w:rFonts w:hint="eastAsia" w:ascii="Times New Roman" w:hAnsi="Times New Roman" w:eastAsia="宋体" w:cs="Times New Roman"/>
                      <w:color w:val="000000"/>
                      <w:spacing w:val="0"/>
                      <w:position w:val="0"/>
                      <w:sz w:val="18"/>
                      <w:szCs w:val="18"/>
                      <w:highlight w:val="none"/>
                      <w:lang w:eastAsia="zh-CN"/>
                    </w:rPr>
                    <w:t>；</w:t>
                  </w:r>
                </w:p>
                <w:p w14:paraId="707032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eastAsia" w:ascii="Times New Roman" w:hAnsi="Times New Roman" w:eastAsia="宋体" w:cs="Times New Roman"/>
                      <w:color w:val="000000"/>
                      <w:spacing w:val="0"/>
                      <w:position w:val="0"/>
                      <w:sz w:val="18"/>
                      <w:szCs w:val="18"/>
                      <w:highlight w:val="none"/>
                      <w:lang w:eastAsia="zh-CN"/>
                    </w:rPr>
                  </w:pPr>
                  <w:r>
                    <w:rPr>
                      <w:rFonts w:hint="default" w:ascii="Times New Roman" w:hAnsi="Times New Roman" w:eastAsia="宋体" w:cs="Times New Roman"/>
                      <w:color w:val="000000"/>
                      <w:spacing w:val="0"/>
                      <w:position w:val="0"/>
                      <w:sz w:val="18"/>
                      <w:szCs w:val="18"/>
                      <w:highlight w:val="none"/>
                    </w:rPr>
                    <w:fldChar w:fldCharType="begin"/>
                  </w:r>
                  <w:r>
                    <w:rPr>
                      <w:rFonts w:hint="default" w:ascii="Times New Roman" w:hAnsi="Times New Roman" w:eastAsia="宋体" w:cs="Times New Roman"/>
                      <w:color w:val="000000"/>
                      <w:spacing w:val="0"/>
                      <w:position w:val="0"/>
                      <w:sz w:val="18"/>
                      <w:szCs w:val="18"/>
                      <w:highlight w:val="none"/>
                    </w:rPr>
                    <w:instrText xml:space="preserve"> = 2 \* GB3 </w:instrText>
                  </w:r>
                  <w:r>
                    <w:rPr>
                      <w:rFonts w:hint="default" w:ascii="Times New Roman" w:hAnsi="Times New Roman" w:eastAsia="宋体" w:cs="Times New Roman"/>
                      <w:color w:val="000000"/>
                      <w:spacing w:val="0"/>
                      <w:position w:val="0"/>
                      <w:sz w:val="18"/>
                      <w:szCs w:val="18"/>
                      <w:highlight w:val="none"/>
                    </w:rPr>
                    <w:fldChar w:fldCharType="separate"/>
                  </w:r>
                  <w:r>
                    <w:rPr>
                      <w:rFonts w:hint="default" w:ascii="Times New Roman" w:hAnsi="Times New Roman" w:eastAsia="宋体" w:cs="Times New Roman"/>
                      <w:color w:val="000000"/>
                      <w:spacing w:val="0"/>
                      <w:position w:val="0"/>
                      <w:sz w:val="18"/>
                      <w:szCs w:val="18"/>
                      <w:highlight w:val="none"/>
                    </w:rPr>
                    <w:t>②</w:t>
                  </w:r>
                  <w:r>
                    <w:rPr>
                      <w:rFonts w:hint="default" w:ascii="Times New Roman" w:hAnsi="Times New Roman" w:eastAsia="宋体" w:cs="Times New Roman"/>
                      <w:color w:val="000000"/>
                      <w:spacing w:val="0"/>
                      <w:position w:val="0"/>
                      <w:sz w:val="18"/>
                      <w:szCs w:val="18"/>
                      <w:highlight w:val="none"/>
                    </w:rPr>
                    <w:fldChar w:fldCharType="end"/>
                  </w:r>
                  <w:r>
                    <w:rPr>
                      <w:rFonts w:hint="default" w:ascii="Times New Roman" w:hAnsi="Times New Roman" w:eastAsia="宋体" w:cs="Times New Roman"/>
                      <w:color w:val="000000"/>
                      <w:spacing w:val="0"/>
                      <w:position w:val="0"/>
                      <w:sz w:val="18"/>
                      <w:szCs w:val="18"/>
                      <w:highlight w:val="none"/>
                    </w:rPr>
                    <w:t>剥离粉尘</w:t>
                  </w:r>
                  <w:r>
                    <w:rPr>
                      <w:rFonts w:hint="eastAsia" w:ascii="Times New Roman" w:hAnsi="Times New Roman" w:eastAsia="宋体" w:cs="Times New Roman"/>
                      <w:color w:val="000000"/>
                      <w:spacing w:val="0"/>
                      <w:position w:val="0"/>
                      <w:sz w:val="18"/>
                      <w:szCs w:val="18"/>
                      <w:highlight w:val="none"/>
                      <w:lang w:eastAsia="zh-CN"/>
                    </w:rPr>
                    <w:t>、</w:t>
                  </w:r>
                  <w:r>
                    <w:rPr>
                      <w:rFonts w:hint="default" w:ascii="Times New Roman" w:hAnsi="Times New Roman" w:eastAsia="宋体" w:cs="Times New Roman"/>
                      <w:color w:val="000000"/>
                      <w:spacing w:val="0"/>
                      <w:position w:val="0"/>
                      <w:sz w:val="18"/>
                      <w:szCs w:val="18"/>
                      <w:highlight w:val="none"/>
                    </w:rPr>
                    <w:t>装卸扬尘、运输扬尘</w:t>
                  </w:r>
                  <w:r>
                    <w:rPr>
                      <w:rFonts w:hint="eastAsia" w:ascii="Times New Roman" w:hAnsi="Times New Roman" w:eastAsia="宋体" w:cs="Times New Roman"/>
                      <w:color w:val="000000"/>
                      <w:spacing w:val="0"/>
                      <w:position w:val="0"/>
                      <w:sz w:val="18"/>
                      <w:szCs w:val="18"/>
                      <w:highlight w:val="none"/>
                      <w:lang w:eastAsia="zh-CN"/>
                    </w:rPr>
                    <w:t>：</w:t>
                  </w:r>
                  <w:r>
                    <w:rPr>
                      <w:rFonts w:hint="default" w:ascii="Times New Roman" w:hAnsi="Times New Roman" w:eastAsia="宋体" w:cs="Times New Roman"/>
                      <w:color w:val="000000"/>
                      <w:spacing w:val="0"/>
                      <w:position w:val="0"/>
                      <w:sz w:val="18"/>
                      <w:szCs w:val="18"/>
                      <w:highlight w:val="none"/>
                    </w:rPr>
                    <w:t>采取洒水降尘</w:t>
                  </w:r>
                  <w:r>
                    <w:rPr>
                      <w:rFonts w:hint="eastAsia" w:ascii="Times New Roman" w:hAnsi="Times New Roman" w:eastAsia="宋体" w:cs="Times New Roman"/>
                      <w:color w:val="000000"/>
                      <w:spacing w:val="0"/>
                      <w:position w:val="0"/>
                      <w:sz w:val="18"/>
                      <w:szCs w:val="18"/>
                      <w:highlight w:val="none"/>
                      <w:lang w:eastAsia="zh-CN"/>
                    </w:rPr>
                    <w:t>；</w:t>
                  </w:r>
                </w:p>
                <w:p w14:paraId="0F0E2F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eastAsia"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rPr>
                    <w:fldChar w:fldCharType="begin"/>
                  </w:r>
                  <w:r>
                    <w:rPr>
                      <w:rFonts w:hint="default" w:ascii="Times New Roman" w:hAnsi="Times New Roman" w:eastAsia="宋体" w:cs="Times New Roman"/>
                      <w:color w:val="000000"/>
                      <w:spacing w:val="0"/>
                      <w:position w:val="0"/>
                      <w:sz w:val="18"/>
                      <w:szCs w:val="18"/>
                      <w:highlight w:val="none"/>
                    </w:rPr>
                    <w:instrText xml:space="preserve"> = 3 \* GB3 </w:instrText>
                  </w:r>
                  <w:r>
                    <w:rPr>
                      <w:rFonts w:hint="default" w:ascii="Times New Roman" w:hAnsi="Times New Roman" w:eastAsia="宋体" w:cs="Times New Roman"/>
                      <w:color w:val="000000"/>
                      <w:spacing w:val="0"/>
                      <w:position w:val="0"/>
                      <w:sz w:val="18"/>
                      <w:szCs w:val="18"/>
                      <w:highlight w:val="none"/>
                    </w:rPr>
                    <w:fldChar w:fldCharType="separate"/>
                  </w:r>
                  <w:r>
                    <w:rPr>
                      <w:rFonts w:hint="default" w:ascii="Times New Roman" w:hAnsi="Times New Roman" w:eastAsia="宋体" w:cs="Times New Roman"/>
                      <w:color w:val="000000"/>
                      <w:spacing w:val="0"/>
                      <w:position w:val="0"/>
                      <w:sz w:val="18"/>
                      <w:szCs w:val="18"/>
                      <w:highlight w:val="none"/>
                    </w:rPr>
                    <w:t>③</w:t>
                  </w:r>
                  <w:r>
                    <w:rPr>
                      <w:rFonts w:hint="default" w:ascii="Times New Roman" w:hAnsi="Times New Roman" w:eastAsia="宋体" w:cs="Times New Roman"/>
                      <w:color w:val="000000"/>
                      <w:spacing w:val="0"/>
                      <w:position w:val="0"/>
                      <w:sz w:val="18"/>
                      <w:szCs w:val="18"/>
                      <w:highlight w:val="none"/>
                    </w:rPr>
                    <w:fldChar w:fldCharType="end"/>
                  </w:r>
                  <w:r>
                    <w:rPr>
                      <w:rFonts w:hint="default" w:ascii="Times New Roman" w:hAnsi="Times New Roman" w:eastAsia="宋体" w:cs="Times New Roman"/>
                      <w:color w:val="000000"/>
                      <w:spacing w:val="0"/>
                      <w:position w:val="0"/>
                      <w:sz w:val="18"/>
                      <w:szCs w:val="18"/>
                      <w:highlight w:val="none"/>
                    </w:rPr>
                    <w:t>动力机械燃油尾气</w:t>
                  </w:r>
                  <w:r>
                    <w:rPr>
                      <w:rFonts w:hint="eastAsia" w:ascii="Times New Roman" w:hAnsi="Times New Roman" w:eastAsia="宋体" w:cs="Times New Roman"/>
                      <w:color w:val="000000"/>
                      <w:spacing w:val="0"/>
                      <w:position w:val="0"/>
                      <w:sz w:val="18"/>
                      <w:szCs w:val="18"/>
                      <w:highlight w:val="none"/>
                      <w:lang w:eastAsia="zh-CN"/>
                    </w:rPr>
                    <w:t>：</w:t>
                  </w:r>
                  <w:r>
                    <w:rPr>
                      <w:rFonts w:hint="default" w:ascii="Times New Roman" w:hAnsi="Times New Roman" w:eastAsia="宋体" w:cs="Times New Roman"/>
                      <w:color w:val="000000"/>
                      <w:spacing w:val="0"/>
                      <w:position w:val="0"/>
                      <w:sz w:val="18"/>
                      <w:szCs w:val="18"/>
                      <w:highlight w:val="none"/>
                    </w:rPr>
                    <w:t>自然通风扩散</w:t>
                  </w:r>
                  <w:r>
                    <w:rPr>
                      <w:rFonts w:hint="eastAsia" w:ascii="Times New Roman" w:hAnsi="Times New Roman" w:eastAsia="宋体" w:cs="Times New Roman"/>
                      <w:color w:val="000000"/>
                      <w:spacing w:val="0"/>
                      <w:position w:val="0"/>
                      <w:sz w:val="18"/>
                      <w:szCs w:val="18"/>
                      <w:highlight w:val="none"/>
                      <w:lang w:eastAsia="zh-CN"/>
                    </w:rPr>
                    <w:t>；</w:t>
                  </w:r>
                </w:p>
                <w:p w14:paraId="2616DE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color w:val="000000"/>
                      <w:spacing w:val="0"/>
                      <w:position w:val="0"/>
                      <w:sz w:val="18"/>
                      <w:szCs w:val="18"/>
                      <w:highlight w:val="none"/>
                    </w:rPr>
                    <w:fldChar w:fldCharType="begin"/>
                  </w:r>
                  <w:r>
                    <w:rPr>
                      <w:rFonts w:hint="default" w:ascii="Times New Roman" w:hAnsi="Times New Roman" w:eastAsia="宋体" w:cs="Times New Roman"/>
                      <w:color w:val="000000"/>
                      <w:spacing w:val="0"/>
                      <w:position w:val="0"/>
                      <w:sz w:val="18"/>
                      <w:szCs w:val="18"/>
                      <w:highlight w:val="none"/>
                    </w:rPr>
                    <w:instrText xml:space="preserve"> = 4 \* GB3 \* MERGEFORMAT </w:instrText>
                  </w:r>
                  <w:r>
                    <w:rPr>
                      <w:rFonts w:hint="default" w:ascii="Times New Roman" w:hAnsi="Times New Roman" w:eastAsia="宋体" w:cs="Times New Roman"/>
                      <w:color w:val="000000"/>
                      <w:spacing w:val="0"/>
                      <w:position w:val="0"/>
                      <w:sz w:val="18"/>
                      <w:szCs w:val="18"/>
                      <w:highlight w:val="none"/>
                    </w:rPr>
                    <w:fldChar w:fldCharType="separate"/>
                  </w:r>
                  <w:r>
                    <w:rPr>
                      <w:rFonts w:hint="default" w:ascii="Times New Roman" w:hAnsi="Times New Roman" w:eastAsia="宋体" w:cs="Times New Roman"/>
                      <w:color w:val="000000"/>
                      <w:spacing w:val="0"/>
                      <w:position w:val="0"/>
                      <w:sz w:val="18"/>
                      <w:szCs w:val="18"/>
                      <w:highlight w:val="none"/>
                    </w:rPr>
                    <w:t>④</w:t>
                  </w:r>
                  <w:r>
                    <w:rPr>
                      <w:rFonts w:hint="default" w:ascii="Times New Roman" w:hAnsi="Times New Roman" w:eastAsia="宋体" w:cs="Times New Roman"/>
                      <w:color w:val="000000"/>
                      <w:spacing w:val="0"/>
                      <w:position w:val="0"/>
                      <w:sz w:val="18"/>
                      <w:szCs w:val="18"/>
                      <w:highlight w:val="none"/>
                    </w:rPr>
                    <w:fldChar w:fldCharType="end"/>
                  </w:r>
                  <w:r>
                    <w:rPr>
                      <w:rFonts w:hint="default" w:ascii="Times New Roman" w:hAnsi="Times New Roman" w:eastAsia="宋体" w:cs="Times New Roman"/>
                      <w:color w:val="000000"/>
                      <w:spacing w:val="0"/>
                      <w:position w:val="0"/>
                      <w:sz w:val="18"/>
                      <w:szCs w:val="18"/>
                      <w:highlight w:val="none"/>
                    </w:rPr>
                    <w:t>食堂油烟</w:t>
                  </w:r>
                  <w:r>
                    <w:rPr>
                      <w:rFonts w:hint="eastAsia" w:ascii="Times New Roman" w:hAnsi="Times New Roman" w:eastAsia="宋体" w:cs="Times New Roman"/>
                      <w:color w:val="000000"/>
                      <w:spacing w:val="0"/>
                      <w:position w:val="0"/>
                      <w:sz w:val="18"/>
                      <w:szCs w:val="18"/>
                      <w:highlight w:val="none"/>
                      <w:lang w:eastAsia="zh-CN"/>
                    </w:rPr>
                    <w:t>：采取</w:t>
                  </w:r>
                  <w:r>
                    <w:rPr>
                      <w:rFonts w:hint="default" w:ascii="Times New Roman" w:hAnsi="Times New Roman" w:eastAsia="宋体" w:cs="Times New Roman"/>
                      <w:color w:val="000000"/>
                      <w:spacing w:val="0"/>
                      <w:position w:val="0"/>
                      <w:sz w:val="18"/>
                      <w:szCs w:val="18"/>
                      <w:highlight w:val="none"/>
                    </w:rPr>
                    <w:t>油烟净化装置进行处理后通过油烟管道引至屋顶排放</w:t>
                  </w:r>
                  <w:r>
                    <w:rPr>
                      <w:rFonts w:hint="eastAsia" w:ascii="Times New Roman" w:hAnsi="Times New Roman" w:eastAsia="宋体" w:cs="Times New Roman"/>
                      <w:color w:val="000000"/>
                      <w:spacing w:val="0"/>
                      <w:position w:val="0"/>
                      <w:sz w:val="18"/>
                      <w:szCs w:val="18"/>
                      <w:highlight w:val="none"/>
                      <w:lang w:eastAsia="zh-CN"/>
                    </w:rPr>
                    <w:t>；</w:t>
                  </w:r>
                </w:p>
              </w:tc>
              <w:tc>
                <w:tcPr>
                  <w:tcW w:w="3205" w:type="dxa"/>
                  <w:tcBorders>
                    <w:tl2br w:val="nil"/>
                    <w:tr2bl w:val="nil"/>
                  </w:tcBorders>
                  <w:noWrap w:val="0"/>
                  <w:vAlign w:val="center"/>
                </w:tcPr>
                <w:p w14:paraId="799B11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color w:val="000000"/>
                      <w:spacing w:val="0"/>
                      <w:position w:val="0"/>
                      <w:sz w:val="18"/>
                      <w:szCs w:val="18"/>
                      <w:highlight w:val="none"/>
                    </w:rPr>
                  </w:pPr>
                  <w:r>
                    <w:rPr>
                      <w:rFonts w:hint="default" w:ascii="Times New Roman" w:hAnsi="Times New Roman" w:eastAsia="宋体" w:cs="Times New Roman"/>
                      <w:color w:val="000000"/>
                      <w:spacing w:val="0"/>
                      <w:position w:val="0"/>
                      <w:sz w:val="18"/>
                      <w:szCs w:val="18"/>
                      <w:highlight w:val="none"/>
                    </w:rPr>
                    <w:t>项目生产过程中产生的废气</w:t>
                  </w:r>
                  <w:r>
                    <w:rPr>
                      <w:rFonts w:hint="eastAsia" w:ascii="Times New Roman" w:hAnsi="Times New Roman" w:eastAsia="宋体" w:cs="Times New Roman"/>
                      <w:color w:val="000000"/>
                      <w:spacing w:val="0"/>
                      <w:position w:val="0"/>
                      <w:sz w:val="18"/>
                      <w:szCs w:val="18"/>
                      <w:highlight w:val="none"/>
                      <w:lang w:eastAsia="zh-CN"/>
                    </w:rPr>
                    <w:t>有</w:t>
                  </w:r>
                  <w:r>
                    <w:rPr>
                      <w:rFonts w:hint="default" w:ascii="Times New Roman" w:hAnsi="Times New Roman" w:eastAsia="宋体" w:cs="Times New Roman"/>
                      <w:color w:val="000000"/>
                      <w:spacing w:val="0"/>
                      <w:position w:val="0"/>
                      <w:sz w:val="18"/>
                      <w:szCs w:val="18"/>
                      <w:highlight w:val="none"/>
                    </w:rPr>
                    <w:t>切割</w:t>
                  </w:r>
                  <w:r>
                    <w:rPr>
                      <w:rFonts w:hint="eastAsia" w:ascii="Times New Roman" w:hAnsi="Times New Roman" w:eastAsia="宋体" w:cs="Times New Roman"/>
                      <w:color w:val="000000"/>
                      <w:spacing w:val="0"/>
                      <w:position w:val="0"/>
                      <w:sz w:val="18"/>
                      <w:szCs w:val="18"/>
                      <w:highlight w:val="none"/>
                      <w:lang w:val="en-US" w:eastAsia="zh-CN"/>
                    </w:rPr>
                    <w:t>分离</w:t>
                  </w:r>
                  <w:r>
                    <w:rPr>
                      <w:rFonts w:hint="default" w:ascii="Times New Roman" w:hAnsi="Times New Roman" w:eastAsia="宋体" w:cs="Times New Roman"/>
                      <w:color w:val="000000"/>
                      <w:spacing w:val="0"/>
                      <w:position w:val="0"/>
                      <w:sz w:val="18"/>
                      <w:szCs w:val="18"/>
                      <w:highlight w:val="none"/>
                    </w:rPr>
                    <w:t>粉尘、装卸扬尘、运输扬尘、动力机械燃油尾气、食堂油烟，现采取的防治措施如下：</w:t>
                  </w:r>
                </w:p>
                <w:p w14:paraId="2706B4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eastAsia" w:ascii="Times New Roman" w:hAnsi="Times New Roman" w:eastAsia="宋体" w:cs="Times New Roman"/>
                      <w:color w:val="000000"/>
                      <w:spacing w:val="0"/>
                      <w:position w:val="0"/>
                      <w:sz w:val="18"/>
                      <w:szCs w:val="18"/>
                      <w:highlight w:val="none"/>
                      <w:lang w:eastAsia="zh-CN"/>
                    </w:rPr>
                  </w:pPr>
                  <w:r>
                    <w:rPr>
                      <w:rFonts w:hint="default" w:ascii="Times New Roman" w:hAnsi="Times New Roman" w:eastAsia="宋体" w:cs="Times New Roman"/>
                      <w:color w:val="000000"/>
                      <w:spacing w:val="0"/>
                      <w:position w:val="0"/>
                      <w:sz w:val="18"/>
                      <w:szCs w:val="18"/>
                      <w:highlight w:val="none"/>
                    </w:rPr>
                    <w:fldChar w:fldCharType="begin"/>
                  </w:r>
                  <w:r>
                    <w:rPr>
                      <w:rFonts w:hint="default" w:ascii="Times New Roman" w:hAnsi="Times New Roman" w:eastAsia="宋体" w:cs="Times New Roman"/>
                      <w:color w:val="000000"/>
                      <w:spacing w:val="0"/>
                      <w:position w:val="0"/>
                      <w:sz w:val="18"/>
                      <w:szCs w:val="18"/>
                      <w:highlight w:val="none"/>
                    </w:rPr>
                    <w:instrText xml:space="preserve"> = 1 \* GB3 </w:instrText>
                  </w:r>
                  <w:r>
                    <w:rPr>
                      <w:rFonts w:hint="default" w:ascii="Times New Roman" w:hAnsi="Times New Roman" w:eastAsia="宋体" w:cs="Times New Roman"/>
                      <w:color w:val="000000"/>
                      <w:spacing w:val="0"/>
                      <w:position w:val="0"/>
                      <w:sz w:val="18"/>
                      <w:szCs w:val="18"/>
                      <w:highlight w:val="none"/>
                    </w:rPr>
                    <w:fldChar w:fldCharType="separate"/>
                  </w:r>
                  <w:r>
                    <w:rPr>
                      <w:rFonts w:hint="default" w:ascii="Times New Roman" w:hAnsi="Times New Roman" w:eastAsia="宋体" w:cs="Times New Roman"/>
                      <w:color w:val="000000"/>
                      <w:spacing w:val="0"/>
                      <w:position w:val="0"/>
                      <w:sz w:val="18"/>
                      <w:szCs w:val="18"/>
                      <w:highlight w:val="none"/>
                    </w:rPr>
                    <w:t>①</w:t>
                  </w:r>
                  <w:r>
                    <w:rPr>
                      <w:rFonts w:hint="default" w:ascii="Times New Roman" w:hAnsi="Times New Roman" w:eastAsia="宋体" w:cs="Times New Roman"/>
                      <w:color w:val="000000"/>
                      <w:spacing w:val="0"/>
                      <w:position w:val="0"/>
                      <w:sz w:val="18"/>
                      <w:szCs w:val="18"/>
                      <w:highlight w:val="none"/>
                    </w:rPr>
                    <w:fldChar w:fldCharType="end"/>
                  </w:r>
                  <w:r>
                    <w:rPr>
                      <w:rFonts w:hint="eastAsia" w:ascii="Times New Roman" w:hAnsi="Times New Roman" w:eastAsia="宋体" w:cs="Times New Roman"/>
                      <w:color w:val="000000"/>
                      <w:spacing w:val="0"/>
                      <w:position w:val="0"/>
                      <w:sz w:val="18"/>
                      <w:szCs w:val="18"/>
                      <w:highlight w:val="none"/>
                      <w:lang w:eastAsia="zh-CN"/>
                    </w:rPr>
                    <w:t>切割</w:t>
                  </w:r>
                  <w:r>
                    <w:rPr>
                      <w:rFonts w:hint="eastAsia" w:ascii="Times New Roman" w:hAnsi="Times New Roman" w:eastAsia="宋体" w:cs="Times New Roman"/>
                      <w:color w:val="000000"/>
                      <w:spacing w:val="0"/>
                      <w:position w:val="0"/>
                      <w:sz w:val="18"/>
                      <w:szCs w:val="18"/>
                      <w:highlight w:val="none"/>
                      <w:lang w:val="en-US" w:eastAsia="zh-CN"/>
                    </w:rPr>
                    <w:t>分离</w:t>
                  </w:r>
                  <w:r>
                    <w:rPr>
                      <w:rFonts w:hint="default" w:ascii="Times New Roman" w:hAnsi="Times New Roman" w:eastAsia="宋体" w:cs="Times New Roman"/>
                      <w:color w:val="000000"/>
                      <w:spacing w:val="0"/>
                      <w:position w:val="0"/>
                      <w:sz w:val="18"/>
                      <w:szCs w:val="18"/>
                      <w:highlight w:val="none"/>
                    </w:rPr>
                    <w:t>粉尘</w:t>
                  </w:r>
                  <w:r>
                    <w:rPr>
                      <w:rFonts w:hint="eastAsia" w:ascii="Times New Roman" w:hAnsi="Times New Roman" w:eastAsia="宋体" w:cs="Times New Roman"/>
                      <w:color w:val="000000"/>
                      <w:spacing w:val="0"/>
                      <w:position w:val="0"/>
                      <w:sz w:val="18"/>
                      <w:szCs w:val="18"/>
                      <w:highlight w:val="none"/>
                      <w:lang w:eastAsia="zh-CN"/>
                    </w:rPr>
                    <w:t>：采取湿法切割</w:t>
                  </w:r>
                  <w:r>
                    <w:rPr>
                      <w:rFonts w:hint="default" w:ascii="Times New Roman" w:hAnsi="Times New Roman" w:eastAsia="宋体" w:cs="Times New Roman"/>
                      <w:color w:val="000000"/>
                      <w:spacing w:val="0"/>
                      <w:position w:val="0"/>
                      <w:sz w:val="18"/>
                      <w:szCs w:val="18"/>
                      <w:highlight w:val="none"/>
                    </w:rPr>
                    <w:t>，同时采取洒水降尘</w:t>
                  </w:r>
                  <w:r>
                    <w:rPr>
                      <w:rFonts w:hint="eastAsia" w:ascii="Times New Roman" w:hAnsi="Times New Roman" w:eastAsia="宋体" w:cs="Times New Roman"/>
                      <w:color w:val="000000"/>
                      <w:spacing w:val="0"/>
                      <w:position w:val="0"/>
                      <w:sz w:val="18"/>
                      <w:szCs w:val="18"/>
                      <w:highlight w:val="none"/>
                      <w:lang w:eastAsia="zh-CN"/>
                    </w:rPr>
                    <w:t>；</w:t>
                  </w:r>
                </w:p>
                <w:p w14:paraId="7D2459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eastAsia" w:ascii="Times New Roman" w:hAnsi="Times New Roman" w:eastAsia="宋体" w:cs="Times New Roman"/>
                      <w:color w:val="000000"/>
                      <w:spacing w:val="0"/>
                      <w:position w:val="0"/>
                      <w:sz w:val="18"/>
                      <w:szCs w:val="18"/>
                      <w:highlight w:val="none"/>
                      <w:lang w:eastAsia="zh-CN"/>
                    </w:rPr>
                  </w:pPr>
                  <w:r>
                    <w:rPr>
                      <w:rFonts w:hint="default" w:ascii="Times New Roman" w:hAnsi="Times New Roman" w:eastAsia="宋体" w:cs="Times New Roman"/>
                      <w:color w:val="000000"/>
                      <w:spacing w:val="0"/>
                      <w:position w:val="0"/>
                      <w:sz w:val="18"/>
                      <w:szCs w:val="18"/>
                      <w:highlight w:val="none"/>
                    </w:rPr>
                    <w:fldChar w:fldCharType="begin"/>
                  </w:r>
                  <w:r>
                    <w:rPr>
                      <w:rFonts w:hint="default" w:ascii="Times New Roman" w:hAnsi="Times New Roman" w:eastAsia="宋体" w:cs="Times New Roman"/>
                      <w:color w:val="000000"/>
                      <w:spacing w:val="0"/>
                      <w:position w:val="0"/>
                      <w:sz w:val="18"/>
                      <w:szCs w:val="18"/>
                      <w:highlight w:val="none"/>
                    </w:rPr>
                    <w:instrText xml:space="preserve"> = 2 \* GB3 </w:instrText>
                  </w:r>
                  <w:r>
                    <w:rPr>
                      <w:rFonts w:hint="default" w:ascii="Times New Roman" w:hAnsi="Times New Roman" w:eastAsia="宋体" w:cs="Times New Roman"/>
                      <w:color w:val="000000"/>
                      <w:spacing w:val="0"/>
                      <w:position w:val="0"/>
                      <w:sz w:val="18"/>
                      <w:szCs w:val="18"/>
                      <w:highlight w:val="none"/>
                    </w:rPr>
                    <w:fldChar w:fldCharType="separate"/>
                  </w:r>
                  <w:r>
                    <w:rPr>
                      <w:rFonts w:hint="default" w:ascii="Times New Roman" w:hAnsi="Times New Roman" w:eastAsia="宋体" w:cs="Times New Roman"/>
                      <w:color w:val="000000"/>
                      <w:spacing w:val="0"/>
                      <w:position w:val="0"/>
                      <w:sz w:val="18"/>
                      <w:szCs w:val="18"/>
                      <w:highlight w:val="none"/>
                    </w:rPr>
                    <w:t>②</w:t>
                  </w:r>
                  <w:r>
                    <w:rPr>
                      <w:rFonts w:hint="default" w:ascii="Times New Roman" w:hAnsi="Times New Roman" w:eastAsia="宋体" w:cs="Times New Roman"/>
                      <w:color w:val="000000"/>
                      <w:spacing w:val="0"/>
                      <w:position w:val="0"/>
                      <w:sz w:val="18"/>
                      <w:szCs w:val="18"/>
                      <w:highlight w:val="none"/>
                    </w:rPr>
                    <w:fldChar w:fldCharType="end"/>
                  </w:r>
                  <w:r>
                    <w:rPr>
                      <w:rFonts w:hint="default" w:ascii="Times New Roman" w:hAnsi="Times New Roman" w:eastAsia="宋体" w:cs="Times New Roman"/>
                      <w:color w:val="000000"/>
                      <w:spacing w:val="0"/>
                      <w:position w:val="0"/>
                      <w:sz w:val="18"/>
                      <w:szCs w:val="18"/>
                      <w:highlight w:val="none"/>
                    </w:rPr>
                    <w:t>剥离粉尘</w:t>
                  </w:r>
                  <w:r>
                    <w:rPr>
                      <w:rFonts w:hint="eastAsia" w:ascii="Times New Roman" w:hAnsi="Times New Roman" w:eastAsia="宋体" w:cs="Times New Roman"/>
                      <w:color w:val="000000"/>
                      <w:spacing w:val="0"/>
                      <w:position w:val="0"/>
                      <w:sz w:val="18"/>
                      <w:szCs w:val="18"/>
                      <w:highlight w:val="none"/>
                      <w:lang w:eastAsia="zh-CN"/>
                    </w:rPr>
                    <w:t>、</w:t>
                  </w:r>
                  <w:r>
                    <w:rPr>
                      <w:rFonts w:hint="default" w:ascii="Times New Roman" w:hAnsi="Times New Roman" w:eastAsia="宋体" w:cs="Times New Roman"/>
                      <w:color w:val="000000"/>
                      <w:spacing w:val="0"/>
                      <w:position w:val="0"/>
                      <w:sz w:val="18"/>
                      <w:szCs w:val="18"/>
                      <w:highlight w:val="none"/>
                    </w:rPr>
                    <w:t>装卸扬尘、运输扬尘</w:t>
                  </w:r>
                  <w:r>
                    <w:rPr>
                      <w:rFonts w:hint="eastAsia" w:ascii="Times New Roman" w:hAnsi="Times New Roman" w:eastAsia="宋体" w:cs="Times New Roman"/>
                      <w:color w:val="000000"/>
                      <w:spacing w:val="0"/>
                      <w:position w:val="0"/>
                      <w:sz w:val="18"/>
                      <w:szCs w:val="18"/>
                      <w:highlight w:val="none"/>
                      <w:lang w:eastAsia="zh-CN"/>
                    </w:rPr>
                    <w:t>：</w:t>
                  </w:r>
                  <w:r>
                    <w:rPr>
                      <w:rFonts w:hint="default" w:ascii="Times New Roman" w:hAnsi="Times New Roman" w:eastAsia="宋体" w:cs="Times New Roman"/>
                      <w:color w:val="000000"/>
                      <w:spacing w:val="0"/>
                      <w:position w:val="0"/>
                      <w:sz w:val="18"/>
                      <w:szCs w:val="18"/>
                      <w:highlight w:val="none"/>
                    </w:rPr>
                    <w:t>采取洒水降尘</w:t>
                  </w:r>
                  <w:r>
                    <w:rPr>
                      <w:rFonts w:hint="eastAsia" w:ascii="Times New Roman" w:hAnsi="Times New Roman" w:eastAsia="宋体" w:cs="Times New Roman"/>
                      <w:color w:val="000000"/>
                      <w:spacing w:val="0"/>
                      <w:position w:val="0"/>
                      <w:sz w:val="18"/>
                      <w:szCs w:val="18"/>
                      <w:highlight w:val="none"/>
                      <w:lang w:eastAsia="zh-CN"/>
                    </w:rPr>
                    <w:t>；</w:t>
                  </w:r>
                </w:p>
                <w:p w14:paraId="3BAEBE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eastAsia"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rPr>
                    <w:fldChar w:fldCharType="begin"/>
                  </w:r>
                  <w:r>
                    <w:rPr>
                      <w:rFonts w:hint="default" w:ascii="Times New Roman" w:hAnsi="Times New Roman" w:eastAsia="宋体" w:cs="Times New Roman"/>
                      <w:color w:val="000000"/>
                      <w:spacing w:val="0"/>
                      <w:position w:val="0"/>
                      <w:sz w:val="18"/>
                      <w:szCs w:val="18"/>
                      <w:highlight w:val="none"/>
                    </w:rPr>
                    <w:instrText xml:space="preserve"> = 3 \* GB3 </w:instrText>
                  </w:r>
                  <w:r>
                    <w:rPr>
                      <w:rFonts w:hint="default" w:ascii="Times New Roman" w:hAnsi="Times New Roman" w:eastAsia="宋体" w:cs="Times New Roman"/>
                      <w:color w:val="000000"/>
                      <w:spacing w:val="0"/>
                      <w:position w:val="0"/>
                      <w:sz w:val="18"/>
                      <w:szCs w:val="18"/>
                      <w:highlight w:val="none"/>
                    </w:rPr>
                    <w:fldChar w:fldCharType="separate"/>
                  </w:r>
                  <w:r>
                    <w:rPr>
                      <w:rFonts w:hint="default" w:ascii="Times New Roman" w:hAnsi="Times New Roman" w:eastAsia="宋体" w:cs="Times New Roman"/>
                      <w:color w:val="000000"/>
                      <w:spacing w:val="0"/>
                      <w:position w:val="0"/>
                      <w:sz w:val="18"/>
                      <w:szCs w:val="18"/>
                      <w:highlight w:val="none"/>
                    </w:rPr>
                    <w:t>③</w:t>
                  </w:r>
                  <w:r>
                    <w:rPr>
                      <w:rFonts w:hint="default" w:ascii="Times New Roman" w:hAnsi="Times New Roman" w:eastAsia="宋体" w:cs="Times New Roman"/>
                      <w:color w:val="000000"/>
                      <w:spacing w:val="0"/>
                      <w:position w:val="0"/>
                      <w:sz w:val="18"/>
                      <w:szCs w:val="18"/>
                      <w:highlight w:val="none"/>
                    </w:rPr>
                    <w:fldChar w:fldCharType="end"/>
                  </w:r>
                  <w:r>
                    <w:rPr>
                      <w:rFonts w:hint="default" w:ascii="Times New Roman" w:hAnsi="Times New Roman" w:eastAsia="宋体" w:cs="Times New Roman"/>
                      <w:color w:val="000000"/>
                      <w:spacing w:val="0"/>
                      <w:position w:val="0"/>
                      <w:sz w:val="18"/>
                      <w:szCs w:val="18"/>
                      <w:highlight w:val="none"/>
                    </w:rPr>
                    <w:t>动力机械燃油尾气</w:t>
                  </w:r>
                  <w:r>
                    <w:rPr>
                      <w:rFonts w:hint="eastAsia" w:ascii="Times New Roman" w:hAnsi="Times New Roman" w:eastAsia="宋体" w:cs="Times New Roman"/>
                      <w:color w:val="000000"/>
                      <w:spacing w:val="0"/>
                      <w:position w:val="0"/>
                      <w:sz w:val="18"/>
                      <w:szCs w:val="18"/>
                      <w:highlight w:val="none"/>
                      <w:lang w:eastAsia="zh-CN"/>
                    </w:rPr>
                    <w:t>：</w:t>
                  </w:r>
                  <w:r>
                    <w:rPr>
                      <w:rFonts w:hint="default" w:ascii="Times New Roman" w:hAnsi="Times New Roman" w:eastAsia="宋体" w:cs="Times New Roman"/>
                      <w:color w:val="000000"/>
                      <w:spacing w:val="0"/>
                      <w:position w:val="0"/>
                      <w:sz w:val="18"/>
                      <w:szCs w:val="18"/>
                      <w:highlight w:val="none"/>
                    </w:rPr>
                    <w:t>自然通风扩散</w:t>
                  </w:r>
                  <w:r>
                    <w:rPr>
                      <w:rFonts w:hint="eastAsia" w:ascii="Times New Roman" w:hAnsi="Times New Roman" w:eastAsia="宋体" w:cs="Times New Roman"/>
                      <w:color w:val="000000"/>
                      <w:spacing w:val="0"/>
                      <w:position w:val="0"/>
                      <w:sz w:val="18"/>
                      <w:szCs w:val="18"/>
                      <w:highlight w:val="none"/>
                      <w:lang w:eastAsia="zh-CN"/>
                    </w:rPr>
                    <w:t>；</w:t>
                  </w:r>
                </w:p>
                <w:p w14:paraId="26E7C1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color w:val="000000"/>
                      <w:spacing w:val="0"/>
                      <w:position w:val="0"/>
                      <w:sz w:val="18"/>
                      <w:szCs w:val="18"/>
                      <w:highlight w:val="none"/>
                    </w:rPr>
                    <w:fldChar w:fldCharType="begin"/>
                  </w:r>
                  <w:r>
                    <w:rPr>
                      <w:rFonts w:hint="default" w:ascii="Times New Roman" w:hAnsi="Times New Roman" w:eastAsia="宋体" w:cs="Times New Roman"/>
                      <w:color w:val="000000"/>
                      <w:spacing w:val="0"/>
                      <w:position w:val="0"/>
                      <w:sz w:val="18"/>
                      <w:szCs w:val="18"/>
                      <w:highlight w:val="none"/>
                    </w:rPr>
                    <w:instrText xml:space="preserve"> = 4 \* GB3 \* MERGEFORMAT </w:instrText>
                  </w:r>
                  <w:r>
                    <w:rPr>
                      <w:rFonts w:hint="default" w:ascii="Times New Roman" w:hAnsi="Times New Roman" w:eastAsia="宋体" w:cs="Times New Roman"/>
                      <w:color w:val="000000"/>
                      <w:spacing w:val="0"/>
                      <w:position w:val="0"/>
                      <w:sz w:val="18"/>
                      <w:szCs w:val="18"/>
                      <w:highlight w:val="none"/>
                    </w:rPr>
                    <w:fldChar w:fldCharType="separate"/>
                  </w:r>
                  <w:r>
                    <w:rPr>
                      <w:rFonts w:hint="default" w:ascii="Times New Roman" w:hAnsi="Times New Roman" w:eastAsia="宋体" w:cs="Times New Roman"/>
                      <w:color w:val="000000"/>
                      <w:spacing w:val="0"/>
                      <w:position w:val="0"/>
                      <w:sz w:val="18"/>
                      <w:szCs w:val="18"/>
                      <w:highlight w:val="none"/>
                    </w:rPr>
                    <w:t>④</w:t>
                  </w:r>
                  <w:r>
                    <w:rPr>
                      <w:rFonts w:hint="default" w:ascii="Times New Roman" w:hAnsi="Times New Roman" w:eastAsia="宋体" w:cs="Times New Roman"/>
                      <w:color w:val="000000"/>
                      <w:spacing w:val="0"/>
                      <w:position w:val="0"/>
                      <w:sz w:val="18"/>
                      <w:szCs w:val="18"/>
                      <w:highlight w:val="none"/>
                    </w:rPr>
                    <w:fldChar w:fldCharType="end"/>
                  </w:r>
                  <w:r>
                    <w:rPr>
                      <w:rFonts w:hint="default" w:ascii="Times New Roman" w:hAnsi="Times New Roman" w:eastAsia="宋体" w:cs="Times New Roman"/>
                      <w:color w:val="000000"/>
                      <w:spacing w:val="0"/>
                      <w:position w:val="0"/>
                      <w:sz w:val="18"/>
                      <w:szCs w:val="18"/>
                      <w:highlight w:val="none"/>
                    </w:rPr>
                    <w:t>食堂油烟</w:t>
                  </w:r>
                  <w:r>
                    <w:rPr>
                      <w:rFonts w:hint="eastAsia" w:ascii="Times New Roman" w:hAnsi="Times New Roman" w:eastAsia="宋体" w:cs="Times New Roman"/>
                      <w:color w:val="000000"/>
                      <w:spacing w:val="0"/>
                      <w:position w:val="0"/>
                      <w:sz w:val="18"/>
                      <w:szCs w:val="18"/>
                      <w:highlight w:val="none"/>
                      <w:lang w:eastAsia="zh-CN"/>
                    </w:rPr>
                    <w:t>：采取</w:t>
                  </w:r>
                  <w:r>
                    <w:rPr>
                      <w:rFonts w:hint="default" w:ascii="Times New Roman" w:hAnsi="Times New Roman" w:eastAsia="宋体" w:cs="Times New Roman"/>
                      <w:color w:val="000000"/>
                      <w:spacing w:val="0"/>
                      <w:position w:val="0"/>
                      <w:sz w:val="18"/>
                      <w:szCs w:val="18"/>
                      <w:highlight w:val="none"/>
                    </w:rPr>
                    <w:t>油烟净化装置进行处理后通过油烟管道引至屋顶排放</w:t>
                  </w:r>
                  <w:r>
                    <w:rPr>
                      <w:rFonts w:hint="eastAsia" w:ascii="Times New Roman" w:hAnsi="Times New Roman" w:eastAsia="宋体" w:cs="Times New Roman"/>
                      <w:color w:val="000000"/>
                      <w:spacing w:val="0"/>
                      <w:position w:val="0"/>
                      <w:sz w:val="18"/>
                      <w:szCs w:val="18"/>
                      <w:highlight w:val="none"/>
                      <w:lang w:eastAsia="zh-CN"/>
                    </w:rPr>
                    <w:t>；</w:t>
                  </w:r>
                </w:p>
              </w:tc>
              <w:tc>
                <w:tcPr>
                  <w:tcW w:w="1125" w:type="dxa"/>
                  <w:tcBorders>
                    <w:tl2br w:val="nil"/>
                    <w:tr2bl w:val="nil"/>
                  </w:tcBorders>
                  <w:noWrap w:val="0"/>
                  <w:vAlign w:val="center"/>
                </w:tcPr>
                <w:p w14:paraId="6C255F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000000"/>
                      <w:sz w:val="18"/>
                      <w:szCs w:val="18"/>
                      <w:highlight w:val="none"/>
                      <w:lang w:eastAsia="zh-CN"/>
                    </w:rPr>
                  </w:pPr>
                  <w:r>
                    <w:rPr>
                      <w:rFonts w:hint="eastAsia" w:cs="Times New Roman"/>
                      <w:color w:val="000000"/>
                      <w:spacing w:val="0"/>
                      <w:position w:val="0"/>
                      <w:sz w:val="18"/>
                      <w:szCs w:val="18"/>
                      <w:highlight w:val="none"/>
                      <w:lang w:val="en-US" w:eastAsia="zh-CN"/>
                    </w:rPr>
                    <w:t>无变化</w:t>
                  </w:r>
                </w:p>
              </w:tc>
            </w:tr>
            <w:tr w14:paraId="10E5E7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vMerge w:val="continue"/>
                  <w:tcBorders>
                    <w:tl2br w:val="nil"/>
                    <w:tr2bl w:val="nil"/>
                  </w:tcBorders>
                  <w:noWrap w:val="0"/>
                  <w:tcMar>
                    <w:top w:w="57" w:type="dxa"/>
                    <w:left w:w="28" w:type="dxa"/>
                    <w:bottom w:w="57" w:type="dxa"/>
                    <w:right w:w="28" w:type="dxa"/>
                  </w:tcMar>
                  <w:vAlign w:val="center"/>
                </w:tcPr>
                <w:p w14:paraId="72AEFE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rPr>
                  </w:pPr>
                </w:p>
              </w:tc>
              <w:tc>
                <w:tcPr>
                  <w:tcW w:w="906" w:type="dxa"/>
                  <w:gridSpan w:val="2"/>
                  <w:tcBorders>
                    <w:tl2br w:val="nil"/>
                    <w:tr2bl w:val="nil"/>
                  </w:tcBorders>
                  <w:noWrap w:val="0"/>
                  <w:tcMar>
                    <w:top w:w="57" w:type="dxa"/>
                    <w:left w:w="28" w:type="dxa"/>
                    <w:bottom w:w="57" w:type="dxa"/>
                    <w:right w:w="28" w:type="dxa"/>
                  </w:tcMar>
                  <w:vAlign w:val="center"/>
                </w:tcPr>
                <w:p w14:paraId="1A542B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0"/>
                      <w:position w:val="0"/>
                      <w:sz w:val="18"/>
                      <w:szCs w:val="18"/>
                      <w:highlight w:val="none"/>
                    </w:rPr>
                    <w:t>污水处理</w:t>
                  </w:r>
                </w:p>
              </w:tc>
              <w:tc>
                <w:tcPr>
                  <w:tcW w:w="3444" w:type="dxa"/>
                  <w:tcBorders>
                    <w:tl2br w:val="nil"/>
                    <w:tr2bl w:val="nil"/>
                  </w:tcBorders>
                  <w:noWrap w:val="0"/>
                  <w:vAlign w:val="center"/>
                </w:tcPr>
                <w:p w14:paraId="3B03886A">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lang w:val="en-US" w:eastAsia="zh-CN"/>
                    </w:rPr>
                    <w:t>雨污分流、清污分流。</w:t>
                  </w:r>
                </w:p>
                <w:p w14:paraId="749876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lang w:val="en-US" w:eastAsia="zh-CN"/>
                    </w:rPr>
                    <w:t>C8矿区主要汇水方向为元昌流域，涉及4号元昌流域-显套湾及大湾片区（含部分C5矿区区域）和5号元昌流域-嘉丰及华东片区。</w:t>
                  </w:r>
                </w:p>
                <w:p w14:paraId="02F1DE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lang w:val="en-US" w:eastAsia="zh-CN"/>
                    </w:rPr>
                    <w:t>①生活污水依托现有</w:t>
                  </w:r>
                  <w:r>
                    <w:rPr>
                      <w:rFonts w:hint="eastAsia" w:ascii="Times New Roman" w:hAnsi="Times New Roman" w:eastAsia="宋体" w:cs="Times New Roman"/>
                      <w:color w:val="000000"/>
                      <w:spacing w:val="0"/>
                      <w:position w:val="0"/>
                      <w:sz w:val="18"/>
                      <w:szCs w:val="18"/>
                      <w:highlight w:val="none"/>
                      <w:lang w:val="en-US" w:eastAsia="zh-CN"/>
                    </w:rPr>
                    <w:t>6</w:t>
                  </w:r>
                  <w:r>
                    <w:rPr>
                      <w:rFonts w:hint="default" w:ascii="Times New Roman" w:hAnsi="Times New Roman" w:eastAsia="宋体" w:cs="Times New Roman"/>
                      <w:color w:val="000000"/>
                      <w:spacing w:val="0"/>
                      <w:position w:val="0"/>
                      <w:sz w:val="18"/>
                      <w:szCs w:val="18"/>
                      <w:highlight w:val="none"/>
                      <w:lang w:val="en-US" w:eastAsia="zh-CN"/>
                    </w:rPr>
                    <w:t>座一体化生活污水处理设施</w:t>
                  </w:r>
                  <w:r>
                    <w:rPr>
                      <w:rFonts w:hint="eastAsia" w:ascii="Times New Roman" w:hAnsi="Times New Roman" w:eastAsia="宋体" w:cs="Times New Roman"/>
                      <w:color w:val="000000"/>
                      <w:spacing w:val="0"/>
                      <w:position w:val="0"/>
                      <w:sz w:val="18"/>
                      <w:szCs w:val="18"/>
                      <w:highlight w:val="none"/>
                      <w:lang w:val="en-US" w:eastAsia="zh-CN"/>
                    </w:rPr>
                    <w:t>，合计处理能力为150m</w:t>
                  </w:r>
                  <w:r>
                    <w:rPr>
                      <w:rFonts w:hint="eastAsia" w:ascii="Times New Roman" w:hAnsi="Times New Roman" w:eastAsia="宋体" w:cs="Times New Roman"/>
                      <w:color w:val="000000"/>
                      <w:spacing w:val="0"/>
                      <w:position w:val="0"/>
                      <w:sz w:val="18"/>
                      <w:szCs w:val="18"/>
                      <w:highlight w:val="none"/>
                      <w:vertAlign w:val="superscript"/>
                      <w:lang w:val="en-US" w:eastAsia="zh-CN"/>
                    </w:rPr>
                    <w:t>3</w:t>
                  </w:r>
                  <w:r>
                    <w:rPr>
                      <w:rFonts w:hint="eastAsia" w:ascii="Times New Roman" w:hAnsi="Times New Roman" w:eastAsia="宋体" w:cs="Times New Roman"/>
                      <w:color w:val="000000"/>
                      <w:spacing w:val="0"/>
                      <w:position w:val="0"/>
                      <w:sz w:val="18"/>
                      <w:szCs w:val="18"/>
                      <w:highlight w:val="none"/>
                      <w:lang w:val="en-US" w:eastAsia="zh-CN"/>
                    </w:rPr>
                    <w:t>/d</w:t>
                  </w:r>
                  <w:r>
                    <w:rPr>
                      <w:rFonts w:hint="default" w:ascii="Times New Roman" w:hAnsi="Times New Roman" w:eastAsia="宋体" w:cs="Times New Roman"/>
                      <w:color w:val="000000"/>
                      <w:spacing w:val="0"/>
                      <w:position w:val="0"/>
                      <w:sz w:val="18"/>
                      <w:szCs w:val="18"/>
                      <w:highlight w:val="none"/>
                      <w:lang w:val="en-US" w:eastAsia="zh-CN"/>
                    </w:rPr>
                    <w:t>处理后回用于生产，不外排。</w:t>
                  </w:r>
                </w:p>
                <w:p w14:paraId="75FFCC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cs="Times New Roman"/>
                      <w:color w:val="000000"/>
                      <w:sz w:val="18"/>
                      <w:szCs w:val="18"/>
                      <w:lang w:val="en-US" w:eastAsia="zh-CN"/>
                    </w:rPr>
                  </w:pPr>
                  <w:r>
                    <w:rPr>
                      <w:rFonts w:hint="default" w:ascii="Times New Roman" w:hAnsi="Times New Roman" w:eastAsia="宋体" w:cs="Times New Roman"/>
                      <w:color w:val="000000"/>
                      <w:spacing w:val="0"/>
                      <w:position w:val="0"/>
                      <w:sz w:val="18"/>
                      <w:szCs w:val="18"/>
                      <w:highlight w:val="none"/>
                      <w:lang w:val="en-US" w:eastAsia="zh-CN"/>
                    </w:rPr>
                    <w:t>②生产废水由污水导流系统收集至污水收集池，依托现有废水循环利</w:t>
                  </w:r>
                  <w:r>
                    <w:rPr>
                      <w:rFonts w:hint="default" w:ascii="Times New Roman" w:hAnsi="Times New Roman" w:cs="Times New Roman"/>
                      <w:color w:val="000000"/>
                      <w:sz w:val="18"/>
                      <w:szCs w:val="18"/>
                      <w:lang w:val="en-US" w:eastAsia="zh-CN"/>
                    </w:rPr>
                    <w:t>用处理站处理后回用于生产，不外排。</w:t>
                  </w:r>
                </w:p>
                <w:p w14:paraId="02A82A59">
                  <w:pPr>
                    <w:keepNext w:val="0"/>
                    <w:keepLines w:val="0"/>
                    <w:pageBreakBefore w:val="0"/>
                    <w:widowControl w:val="0"/>
                    <w:kinsoku/>
                    <w:wordWrap/>
                    <w:overflowPunct/>
                    <w:topLinePunct w:val="0"/>
                    <w:bidi w:val="0"/>
                    <w:snapToGrid w:val="0"/>
                    <w:spacing w:line="240" w:lineRule="auto"/>
                    <w:textAlignment w:val="auto"/>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pacing w:val="0"/>
                      <w:position w:val="0"/>
                      <w:sz w:val="18"/>
                      <w:szCs w:val="18"/>
                      <w:highlight w:val="none"/>
                      <w:lang w:val="en-US" w:eastAsia="zh-CN"/>
                    </w:rPr>
                    <w:t>③矿区初期雨水由雨水导流系统收集至初期雨水池，依托现有</w:t>
                  </w:r>
                  <w:r>
                    <w:rPr>
                      <w:rFonts w:hint="eastAsia" w:ascii="Times New Roman" w:hAnsi="Times New Roman" w:eastAsia="宋体" w:cs="Times New Roman"/>
                      <w:color w:val="000000"/>
                      <w:spacing w:val="0"/>
                      <w:position w:val="0"/>
                      <w:sz w:val="18"/>
                      <w:szCs w:val="18"/>
                      <w:highlight w:val="none"/>
                      <w:lang w:val="en-US" w:eastAsia="zh-CN"/>
                    </w:rPr>
                    <w:t>废水循环利用处理站</w:t>
                  </w:r>
                  <w:r>
                    <w:rPr>
                      <w:rFonts w:hint="default" w:ascii="Times New Roman" w:hAnsi="Times New Roman" w:eastAsia="宋体" w:cs="Times New Roman"/>
                      <w:color w:val="000000"/>
                      <w:spacing w:val="0"/>
                      <w:position w:val="0"/>
                      <w:sz w:val="18"/>
                      <w:szCs w:val="18"/>
                      <w:highlight w:val="none"/>
                      <w:lang w:val="en-US" w:eastAsia="zh-CN"/>
                    </w:rPr>
                    <w:t>处理后回用于生产</w:t>
                  </w:r>
                  <w:r>
                    <w:rPr>
                      <w:rFonts w:hint="eastAsia" w:ascii="Times New Roman" w:hAnsi="Times New Roman" w:eastAsia="宋体" w:cs="Times New Roman"/>
                      <w:color w:val="000000"/>
                      <w:spacing w:val="0"/>
                      <w:position w:val="0"/>
                      <w:sz w:val="18"/>
                      <w:szCs w:val="18"/>
                      <w:highlight w:val="none"/>
                      <w:lang w:val="en-US" w:eastAsia="zh-CN"/>
                    </w:rPr>
                    <w:t>、抑尘</w:t>
                  </w:r>
                  <w:r>
                    <w:rPr>
                      <w:rFonts w:hint="default" w:ascii="Times New Roman" w:hAnsi="Times New Roman" w:eastAsia="宋体" w:cs="Times New Roman"/>
                      <w:color w:val="000000"/>
                      <w:spacing w:val="0"/>
                      <w:position w:val="0"/>
                      <w:sz w:val="18"/>
                      <w:szCs w:val="18"/>
                      <w:highlight w:val="none"/>
                      <w:lang w:val="en-US" w:eastAsia="zh-CN"/>
                    </w:rPr>
                    <w:t>，不外排。</w:t>
                  </w:r>
                  <w:r>
                    <w:rPr>
                      <w:rFonts w:hint="eastAsia" w:ascii="Times New Roman" w:hAnsi="Times New Roman" w:eastAsia="宋体" w:cs="Times New Roman"/>
                      <w:color w:val="000000"/>
                      <w:spacing w:val="0"/>
                      <w:position w:val="0"/>
                      <w:sz w:val="18"/>
                      <w:szCs w:val="18"/>
                      <w:highlight w:val="none"/>
                      <w:lang w:val="en-US" w:eastAsia="zh-CN"/>
                    </w:rPr>
                    <w:t>C8区块现有雨水收集池容积约106670</w:t>
                  </w:r>
                  <w:r>
                    <w:rPr>
                      <w:rFonts w:hint="default" w:ascii="Times New Roman" w:hAnsi="Times New Roman" w:eastAsia="宋体" w:cs="Times New Roman"/>
                      <w:color w:val="000000"/>
                      <w:kern w:val="0"/>
                      <w:sz w:val="18"/>
                      <w:szCs w:val="18"/>
                      <w:highlight w:val="none"/>
                      <w:lang w:val="en-US" w:eastAsia="zh-CN" w:bidi="ar"/>
                    </w:rPr>
                    <w:t>m</w:t>
                  </w:r>
                  <w:r>
                    <w:rPr>
                      <w:rFonts w:hint="default" w:ascii="Times New Roman" w:hAnsi="Times New Roman" w:eastAsia="宋体" w:cs="Times New Roman"/>
                      <w:color w:val="000000"/>
                      <w:kern w:val="0"/>
                      <w:sz w:val="18"/>
                      <w:szCs w:val="18"/>
                      <w:highlight w:val="none"/>
                      <w:vertAlign w:val="superscript"/>
                      <w:lang w:val="en-US" w:eastAsia="zh-CN" w:bidi="ar"/>
                    </w:rPr>
                    <w:t>3</w:t>
                  </w:r>
                  <w:r>
                    <w:rPr>
                      <w:rFonts w:hint="eastAsia" w:ascii="Times New Roman" w:hAnsi="Times New Roman" w:eastAsia="宋体" w:cs="Times New Roman"/>
                      <w:color w:val="000000"/>
                      <w:kern w:val="0"/>
                      <w:sz w:val="18"/>
                      <w:szCs w:val="18"/>
                      <w:highlight w:val="none"/>
                      <w:vertAlign w:val="baseline"/>
                      <w:lang w:val="en-US" w:eastAsia="zh-CN" w:bidi="ar"/>
                    </w:rPr>
                    <w:t>，完全能够满</w:t>
                  </w:r>
                  <w:r>
                    <w:rPr>
                      <w:rFonts w:hint="eastAsia" w:ascii="Times New Roman" w:hAnsi="Times New Roman" w:eastAsia="宋体" w:cs="Times New Roman"/>
                      <w:color w:val="000000"/>
                      <w:sz w:val="18"/>
                      <w:szCs w:val="18"/>
                      <w:lang w:val="en-US" w:eastAsia="zh-CN"/>
                    </w:rPr>
                    <w:t>足矿区初期雨水收集需求。</w:t>
                  </w:r>
                </w:p>
                <w:p w14:paraId="620FEEC0">
                  <w:pPr>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000000"/>
                      <w:sz w:val="18"/>
                      <w:szCs w:val="18"/>
                      <w:lang w:val="en-US" w:eastAsia="zh-CN"/>
                    </w:rPr>
                    <w:t>C8矿区现有兆兴矿山废水循环利用处理站（处理工艺沉淀+压榨，处理能力2500m</w:t>
                  </w:r>
                  <w:r>
                    <w:rPr>
                      <w:rFonts w:hint="eastAsia" w:ascii="Times New Roman" w:hAnsi="Times New Roman" w:eastAsia="宋体" w:cs="Times New Roman"/>
                      <w:color w:val="000000"/>
                      <w:sz w:val="18"/>
                      <w:szCs w:val="18"/>
                      <w:vertAlign w:val="superscript"/>
                      <w:lang w:val="en-US" w:eastAsia="zh-CN"/>
                    </w:rPr>
                    <w:t>3</w:t>
                  </w:r>
                  <w:r>
                    <w:rPr>
                      <w:rFonts w:hint="eastAsia" w:ascii="Times New Roman" w:hAnsi="Times New Roman" w:eastAsia="宋体" w:cs="Times New Roman"/>
                      <w:color w:val="000000"/>
                      <w:sz w:val="18"/>
                      <w:szCs w:val="18"/>
                      <w:lang w:val="en-US" w:eastAsia="zh-CN"/>
                    </w:rPr>
                    <w:t>/d）、嘉丰大东矿山废水循环利用处理站（处理工艺沉淀+压榨，处理能力6000m</w:t>
                  </w:r>
                  <w:r>
                    <w:rPr>
                      <w:rFonts w:hint="eastAsia" w:ascii="Times New Roman" w:hAnsi="Times New Roman" w:eastAsia="宋体" w:cs="Times New Roman"/>
                      <w:color w:val="000000"/>
                      <w:sz w:val="18"/>
                      <w:szCs w:val="18"/>
                      <w:vertAlign w:val="superscript"/>
                      <w:lang w:val="en-US" w:eastAsia="zh-CN"/>
                    </w:rPr>
                    <w:t>3</w:t>
                  </w:r>
                  <w:r>
                    <w:rPr>
                      <w:rFonts w:hint="eastAsia" w:ascii="Times New Roman" w:hAnsi="Times New Roman" w:eastAsia="宋体" w:cs="Times New Roman"/>
                      <w:color w:val="000000"/>
                      <w:sz w:val="18"/>
                      <w:szCs w:val="18"/>
                      <w:lang w:val="en-US" w:eastAsia="zh-CN"/>
                    </w:rPr>
                    <w:t>/d）、显套湾矿山废水循环利用处理站（处理工艺沉淀+压榨，处理能力2000m</w:t>
                  </w:r>
                  <w:r>
                    <w:rPr>
                      <w:rFonts w:hint="eastAsia" w:ascii="Times New Roman" w:hAnsi="Times New Roman" w:eastAsia="宋体" w:cs="Times New Roman"/>
                      <w:color w:val="000000"/>
                      <w:sz w:val="18"/>
                      <w:szCs w:val="18"/>
                      <w:vertAlign w:val="superscript"/>
                      <w:lang w:val="en-US" w:eastAsia="zh-CN"/>
                    </w:rPr>
                    <w:t>3</w:t>
                  </w:r>
                  <w:r>
                    <w:rPr>
                      <w:rFonts w:hint="eastAsia" w:ascii="Times New Roman" w:hAnsi="Times New Roman" w:eastAsia="宋体" w:cs="Times New Roman"/>
                      <w:color w:val="000000"/>
                      <w:sz w:val="18"/>
                      <w:szCs w:val="18"/>
                      <w:lang w:val="en-US" w:eastAsia="zh-CN"/>
                    </w:rPr>
                    <w:t>/d）、元昌应急处理站</w:t>
                  </w:r>
                  <w:r>
                    <w:rPr>
                      <w:rFonts w:hint="eastAsia" w:ascii="Times New Roman" w:hAnsi="Times New Roman" w:eastAsia="宋体" w:cs="Times New Roman"/>
                      <w:color w:val="000000"/>
                      <w:sz w:val="18"/>
                      <w:szCs w:val="18"/>
                      <w:highlight w:val="none"/>
                      <w:lang w:val="en-US" w:eastAsia="zh-CN"/>
                    </w:rPr>
                    <w:t>（处理工艺沉淀+压榨，处理能力7500m</w:t>
                  </w:r>
                  <w:r>
                    <w:rPr>
                      <w:rFonts w:hint="eastAsia" w:ascii="Times New Roman" w:hAnsi="Times New Roman" w:eastAsia="宋体" w:cs="Times New Roman"/>
                      <w:color w:val="000000"/>
                      <w:sz w:val="18"/>
                      <w:szCs w:val="18"/>
                      <w:highlight w:val="none"/>
                      <w:vertAlign w:val="superscript"/>
                      <w:lang w:val="en-US" w:eastAsia="zh-CN"/>
                    </w:rPr>
                    <w:t>3</w:t>
                  </w:r>
                  <w:r>
                    <w:rPr>
                      <w:rFonts w:hint="eastAsia" w:ascii="Times New Roman" w:hAnsi="Times New Roman" w:eastAsia="宋体" w:cs="Times New Roman"/>
                      <w:color w:val="000000"/>
                      <w:sz w:val="18"/>
                      <w:szCs w:val="18"/>
                      <w:highlight w:val="none"/>
                      <w:lang w:val="en-US" w:eastAsia="zh-CN"/>
                    </w:rPr>
                    <w:t>/d），合计处理能力为18000m</w:t>
                  </w:r>
                  <w:r>
                    <w:rPr>
                      <w:rFonts w:hint="eastAsia" w:ascii="Times New Roman" w:hAnsi="Times New Roman" w:eastAsia="宋体" w:cs="Times New Roman"/>
                      <w:color w:val="000000"/>
                      <w:sz w:val="18"/>
                      <w:szCs w:val="18"/>
                      <w:highlight w:val="none"/>
                      <w:vertAlign w:val="superscript"/>
                      <w:lang w:val="en-US" w:eastAsia="zh-CN"/>
                    </w:rPr>
                    <w:t>3</w:t>
                  </w:r>
                  <w:r>
                    <w:rPr>
                      <w:rFonts w:hint="eastAsia" w:ascii="Times New Roman" w:hAnsi="Times New Roman" w:eastAsia="宋体" w:cs="Times New Roman"/>
                      <w:color w:val="000000"/>
                      <w:sz w:val="18"/>
                      <w:szCs w:val="18"/>
                      <w:highlight w:val="none"/>
                      <w:lang w:val="en-US" w:eastAsia="zh-CN"/>
                    </w:rPr>
                    <w:t>/d。C8区块废水（含初期雨水）产生量为</w:t>
                  </w:r>
                  <w:r>
                    <w:rPr>
                      <w:rFonts w:hint="eastAsia" w:ascii="Times New Roman" w:hAnsi="Times New Roman" w:eastAsia="宋体" w:cs="Times New Roman"/>
                      <w:b w:val="0"/>
                      <w:bCs/>
                      <w:color w:val="000000"/>
                      <w:kern w:val="0"/>
                      <w:sz w:val="18"/>
                      <w:szCs w:val="18"/>
                      <w:highlight w:val="none"/>
                      <w:lang w:val="en-US" w:eastAsia="zh-CN" w:bidi="ar"/>
                    </w:rPr>
                    <w:t>3005.52</w:t>
                  </w:r>
                  <w:r>
                    <w:rPr>
                      <w:rFonts w:hint="eastAsia" w:ascii="Times New Roman" w:hAnsi="Times New Roman" w:eastAsia="宋体" w:cs="Times New Roman"/>
                      <w:b w:val="0"/>
                      <w:bCs/>
                      <w:color w:val="000000"/>
                      <w:sz w:val="18"/>
                      <w:szCs w:val="18"/>
                      <w:highlight w:val="none"/>
                      <w:lang w:val="en-US" w:eastAsia="zh-CN"/>
                    </w:rPr>
                    <w:t>m</w:t>
                  </w:r>
                  <w:r>
                    <w:rPr>
                      <w:rFonts w:hint="eastAsia" w:ascii="Times New Roman" w:hAnsi="Times New Roman" w:eastAsia="宋体" w:cs="Times New Roman"/>
                      <w:b w:val="0"/>
                      <w:bCs/>
                      <w:color w:val="000000"/>
                      <w:sz w:val="18"/>
                      <w:szCs w:val="18"/>
                      <w:highlight w:val="none"/>
                      <w:vertAlign w:val="superscript"/>
                      <w:lang w:val="en-US" w:eastAsia="zh-CN"/>
                    </w:rPr>
                    <w:t>3</w:t>
                  </w:r>
                  <w:r>
                    <w:rPr>
                      <w:rFonts w:hint="eastAsia" w:ascii="Times New Roman" w:hAnsi="Times New Roman" w:eastAsia="宋体" w:cs="Times New Roman"/>
                      <w:b w:val="0"/>
                      <w:bCs/>
                      <w:color w:val="000000"/>
                      <w:sz w:val="18"/>
                      <w:szCs w:val="18"/>
                      <w:highlight w:val="none"/>
                      <w:lang w:val="en-US" w:eastAsia="zh-CN"/>
                    </w:rPr>
                    <w:t>/d</w:t>
                  </w:r>
                  <w:r>
                    <w:rPr>
                      <w:rFonts w:hint="eastAsia" w:ascii="Times New Roman" w:hAnsi="Times New Roman" w:eastAsia="宋体" w:cs="Times New Roman"/>
                      <w:color w:val="000000"/>
                      <w:sz w:val="18"/>
                      <w:szCs w:val="18"/>
                      <w:highlight w:val="none"/>
                      <w:lang w:val="en-US" w:eastAsia="zh-CN"/>
                    </w:rPr>
                    <w:t>，依托现有完全可行。</w:t>
                  </w:r>
                </w:p>
              </w:tc>
              <w:tc>
                <w:tcPr>
                  <w:tcW w:w="3205" w:type="dxa"/>
                  <w:tcBorders>
                    <w:tl2br w:val="nil"/>
                    <w:tr2bl w:val="nil"/>
                  </w:tcBorders>
                  <w:noWrap w:val="0"/>
                  <w:vAlign w:val="center"/>
                </w:tcPr>
                <w:p w14:paraId="7090CC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lang w:val="en-US" w:eastAsia="zh-CN"/>
                    </w:rPr>
                    <w:t>雨污分流、清污分流。</w:t>
                  </w:r>
                </w:p>
                <w:p w14:paraId="700C9C0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lang w:val="en-US" w:eastAsia="zh-CN"/>
                    </w:rPr>
                    <w:t>C8矿区主要汇水方向为元昌流域，涉及4号元昌流域-显套湾及大湾片区（含部分C5矿区区域）和5号元昌流域-嘉丰及华东片区。</w:t>
                  </w:r>
                </w:p>
                <w:p w14:paraId="58FF2A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color w:val="000000"/>
                      <w:spacing w:val="0"/>
                      <w:position w:val="0"/>
                      <w:sz w:val="18"/>
                      <w:szCs w:val="18"/>
                      <w:highlight w:val="none"/>
                      <w:lang w:val="en-US" w:eastAsia="zh-CN"/>
                    </w:rPr>
                  </w:pPr>
                  <w:r>
                    <w:rPr>
                      <w:rFonts w:hint="default" w:ascii="Times New Roman" w:hAnsi="Times New Roman" w:eastAsia="宋体" w:cs="Times New Roman"/>
                      <w:color w:val="000000"/>
                      <w:spacing w:val="0"/>
                      <w:position w:val="0"/>
                      <w:sz w:val="18"/>
                      <w:szCs w:val="18"/>
                      <w:highlight w:val="none"/>
                      <w:lang w:val="en-US" w:eastAsia="zh-CN"/>
                    </w:rPr>
                    <w:t>①生活污水依托现有</w:t>
                  </w:r>
                  <w:r>
                    <w:rPr>
                      <w:rFonts w:hint="eastAsia" w:ascii="Times New Roman" w:hAnsi="Times New Roman" w:eastAsia="宋体" w:cs="Times New Roman"/>
                      <w:color w:val="000000"/>
                      <w:spacing w:val="0"/>
                      <w:position w:val="0"/>
                      <w:sz w:val="18"/>
                      <w:szCs w:val="18"/>
                      <w:highlight w:val="none"/>
                      <w:lang w:val="en-US" w:eastAsia="zh-CN"/>
                    </w:rPr>
                    <w:t>6</w:t>
                  </w:r>
                  <w:r>
                    <w:rPr>
                      <w:rFonts w:hint="default" w:ascii="Times New Roman" w:hAnsi="Times New Roman" w:eastAsia="宋体" w:cs="Times New Roman"/>
                      <w:color w:val="000000"/>
                      <w:spacing w:val="0"/>
                      <w:position w:val="0"/>
                      <w:sz w:val="18"/>
                      <w:szCs w:val="18"/>
                      <w:highlight w:val="none"/>
                      <w:lang w:val="en-US" w:eastAsia="zh-CN"/>
                    </w:rPr>
                    <w:t>座一体化生活污水处理设施</w:t>
                  </w:r>
                  <w:r>
                    <w:rPr>
                      <w:rFonts w:hint="eastAsia" w:ascii="Times New Roman" w:hAnsi="Times New Roman" w:eastAsia="宋体" w:cs="Times New Roman"/>
                      <w:color w:val="000000"/>
                      <w:spacing w:val="0"/>
                      <w:position w:val="0"/>
                      <w:sz w:val="18"/>
                      <w:szCs w:val="18"/>
                      <w:highlight w:val="none"/>
                      <w:lang w:val="en-US" w:eastAsia="zh-CN"/>
                    </w:rPr>
                    <w:t>，合计处理能力为150m</w:t>
                  </w:r>
                  <w:r>
                    <w:rPr>
                      <w:rFonts w:hint="eastAsia" w:ascii="Times New Roman" w:hAnsi="Times New Roman" w:eastAsia="宋体" w:cs="Times New Roman"/>
                      <w:color w:val="000000"/>
                      <w:spacing w:val="0"/>
                      <w:position w:val="0"/>
                      <w:sz w:val="18"/>
                      <w:szCs w:val="18"/>
                      <w:highlight w:val="none"/>
                      <w:vertAlign w:val="superscript"/>
                      <w:lang w:val="en-US" w:eastAsia="zh-CN"/>
                    </w:rPr>
                    <w:t>3</w:t>
                  </w:r>
                  <w:r>
                    <w:rPr>
                      <w:rFonts w:hint="eastAsia" w:ascii="Times New Roman" w:hAnsi="Times New Roman" w:eastAsia="宋体" w:cs="Times New Roman"/>
                      <w:color w:val="000000"/>
                      <w:spacing w:val="0"/>
                      <w:position w:val="0"/>
                      <w:sz w:val="18"/>
                      <w:szCs w:val="18"/>
                      <w:highlight w:val="none"/>
                      <w:lang w:val="en-US" w:eastAsia="zh-CN"/>
                    </w:rPr>
                    <w:t>/d</w:t>
                  </w:r>
                  <w:r>
                    <w:rPr>
                      <w:rFonts w:hint="default" w:ascii="Times New Roman" w:hAnsi="Times New Roman" w:eastAsia="宋体" w:cs="Times New Roman"/>
                      <w:color w:val="000000"/>
                      <w:spacing w:val="0"/>
                      <w:position w:val="0"/>
                      <w:sz w:val="18"/>
                      <w:szCs w:val="18"/>
                      <w:highlight w:val="none"/>
                      <w:lang w:val="en-US" w:eastAsia="zh-CN"/>
                    </w:rPr>
                    <w:t>处理后回用于生产，不外排。</w:t>
                  </w:r>
                </w:p>
                <w:p w14:paraId="665FEB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cs="Times New Roman"/>
                      <w:color w:val="000000"/>
                      <w:sz w:val="18"/>
                      <w:szCs w:val="18"/>
                      <w:lang w:val="en-US" w:eastAsia="zh-CN"/>
                    </w:rPr>
                  </w:pPr>
                  <w:r>
                    <w:rPr>
                      <w:rFonts w:hint="default" w:ascii="Times New Roman" w:hAnsi="Times New Roman" w:eastAsia="宋体" w:cs="Times New Roman"/>
                      <w:color w:val="000000"/>
                      <w:spacing w:val="0"/>
                      <w:position w:val="0"/>
                      <w:sz w:val="18"/>
                      <w:szCs w:val="18"/>
                      <w:highlight w:val="none"/>
                      <w:lang w:val="en-US" w:eastAsia="zh-CN"/>
                    </w:rPr>
                    <w:t>②生产废水由污水导流系统收集</w:t>
                  </w:r>
                  <w:r>
                    <w:rPr>
                      <w:rFonts w:hint="default" w:ascii="Times New Roman" w:hAnsi="Times New Roman" w:cs="Times New Roman"/>
                      <w:color w:val="000000"/>
                      <w:sz w:val="18"/>
                      <w:szCs w:val="18"/>
                      <w:lang w:val="en-US" w:eastAsia="zh-CN"/>
                    </w:rPr>
                    <w:t>至污水收集池，依托现有废水循环利用处理站处理后回用于生产，不外排。</w:t>
                  </w:r>
                </w:p>
                <w:p w14:paraId="7892823E">
                  <w:pPr>
                    <w:keepNext w:val="0"/>
                    <w:keepLines w:val="0"/>
                    <w:pageBreakBefore w:val="0"/>
                    <w:widowControl w:val="0"/>
                    <w:kinsoku/>
                    <w:wordWrap/>
                    <w:overflowPunct/>
                    <w:topLinePunct w:val="0"/>
                    <w:bidi w:val="0"/>
                    <w:snapToGrid w:val="0"/>
                    <w:spacing w:line="240" w:lineRule="auto"/>
                    <w:textAlignment w:val="auto"/>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pacing w:val="0"/>
                      <w:position w:val="0"/>
                      <w:sz w:val="18"/>
                      <w:szCs w:val="18"/>
                      <w:highlight w:val="none"/>
                      <w:lang w:val="en-US" w:eastAsia="zh-CN"/>
                    </w:rPr>
                    <w:t>③矿区初期雨水由雨水导流系统收集至初期雨水池，依托现有</w:t>
                  </w:r>
                  <w:r>
                    <w:rPr>
                      <w:rFonts w:hint="eastAsia" w:ascii="Times New Roman" w:hAnsi="Times New Roman" w:eastAsia="宋体" w:cs="Times New Roman"/>
                      <w:color w:val="000000"/>
                      <w:spacing w:val="0"/>
                      <w:position w:val="0"/>
                      <w:sz w:val="18"/>
                      <w:szCs w:val="18"/>
                      <w:highlight w:val="none"/>
                      <w:lang w:val="en-US" w:eastAsia="zh-CN"/>
                    </w:rPr>
                    <w:t>废水循环利用处理站</w:t>
                  </w:r>
                  <w:r>
                    <w:rPr>
                      <w:rFonts w:hint="default" w:ascii="Times New Roman" w:hAnsi="Times New Roman" w:eastAsia="宋体" w:cs="Times New Roman"/>
                      <w:color w:val="000000"/>
                      <w:spacing w:val="0"/>
                      <w:position w:val="0"/>
                      <w:sz w:val="18"/>
                      <w:szCs w:val="18"/>
                      <w:highlight w:val="none"/>
                      <w:lang w:val="en-US" w:eastAsia="zh-CN"/>
                    </w:rPr>
                    <w:t>处理后回用于生产</w:t>
                  </w:r>
                  <w:r>
                    <w:rPr>
                      <w:rFonts w:hint="eastAsia" w:ascii="Times New Roman" w:hAnsi="Times New Roman" w:eastAsia="宋体" w:cs="Times New Roman"/>
                      <w:color w:val="000000"/>
                      <w:spacing w:val="0"/>
                      <w:position w:val="0"/>
                      <w:sz w:val="18"/>
                      <w:szCs w:val="18"/>
                      <w:highlight w:val="none"/>
                      <w:lang w:val="en-US" w:eastAsia="zh-CN"/>
                    </w:rPr>
                    <w:t>、抑尘</w:t>
                  </w:r>
                  <w:r>
                    <w:rPr>
                      <w:rFonts w:hint="default" w:ascii="Times New Roman" w:hAnsi="Times New Roman" w:eastAsia="宋体" w:cs="Times New Roman"/>
                      <w:color w:val="000000"/>
                      <w:spacing w:val="0"/>
                      <w:position w:val="0"/>
                      <w:sz w:val="18"/>
                      <w:szCs w:val="18"/>
                      <w:highlight w:val="none"/>
                      <w:lang w:val="en-US" w:eastAsia="zh-CN"/>
                    </w:rPr>
                    <w:t>，不外排。</w:t>
                  </w:r>
                  <w:r>
                    <w:rPr>
                      <w:rFonts w:hint="eastAsia" w:ascii="Times New Roman" w:hAnsi="Times New Roman" w:eastAsia="宋体" w:cs="Times New Roman"/>
                      <w:color w:val="000000"/>
                      <w:spacing w:val="0"/>
                      <w:position w:val="0"/>
                      <w:sz w:val="18"/>
                      <w:szCs w:val="18"/>
                      <w:highlight w:val="none"/>
                      <w:lang w:val="en-US" w:eastAsia="zh-CN"/>
                    </w:rPr>
                    <w:t>C8区块现有雨水收集池容积约106670</w:t>
                  </w:r>
                  <w:r>
                    <w:rPr>
                      <w:rFonts w:hint="default" w:ascii="Times New Roman" w:hAnsi="Times New Roman" w:eastAsia="宋体" w:cs="Times New Roman"/>
                      <w:color w:val="000000"/>
                      <w:kern w:val="0"/>
                      <w:sz w:val="18"/>
                      <w:szCs w:val="18"/>
                      <w:highlight w:val="none"/>
                      <w:lang w:val="en-US" w:eastAsia="zh-CN" w:bidi="ar"/>
                    </w:rPr>
                    <w:t>m</w:t>
                  </w:r>
                  <w:r>
                    <w:rPr>
                      <w:rFonts w:hint="default" w:ascii="Times New Roman" w:hAnsi="Times New Roman" w:eastAsia="宋体" w:cs="Times New Roman"/>
                      <w:color w:val="000000"/>
                      <w:kern w:val="0"/>
                      <w:sz w:val="18"/>
                      <w:szCs w:val="18"/>
                      <w:highlight w:val="none"/>
                      <w:vertAlign w:val="superscript"/>
                      <w:lang w:val="en-US" w:eastAsia="zh-CN" w:bidi="ar"/>
                    </w:rPr>
                    <w:t>3</w:t>
                  </w:r>
                  <w:r>
                    <w:rPr>
                      <w:rFonts w:hint="eastAsia" w:ascii="Times New Roman" w:hAnsi="Times New Roman" w:eastAsia="宋体" w:cs="Times New Roman"/>
                      <w:color w:val="000000"/>
                      <w:kern w:val="0"/>
                      <w:sz w:val="18"/>
                      <w:szCs w:val="18"/>
                      <w:highlight w:val="none"/>
                      <w:vertAlign w:val="baseline"/>
                      <w:lang w:val="en-US" w:eastAsia="zh-CN" w:bidi="ar"/>
                    </w:rPr>
                    <w:t>，完全能够满</w:t>
                  </w:r>
                  <w:r>
                    <w:rPr>
                      <w:rFonts w:hint="eastAsia" w:ascii="Times New Roman" w:hAnsi="Times New Roman" w:eastAsia="宋体" w:cs="Times New Roman"/>
                      <w:color w:val="000000"/>
                      <w:sz w:val="18"/>
                      <w:szCs w:val="18"/>
                      <w:lang w:val="en-US" w:eastAsia="zh-CN"/>
                    </w:rPr>
                    <w:t>足矿区初期雨水收集需求。</w:t>
                  </w:r>
                </w:p>
                <w:p w14:paraId="725119A9">
                  <w:pPr>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color w:val="000000"/>
                      <w:sz w:val="18"/>
                      <w:szCs w:val="18"/>
                      <w:lang w:val="en-US" w:eastAsia="zh-CN"/>
                    </w:rPr>
                    <w:t>C8矿区现有兆兴矿山废水循环利用处理站（处理工艺沉淀+压榨，处理能力2500m</w:t>
                  </w:r>
                  <w:r>
                    <w:rPr>
                      <w:rFonts w:hint="eastAsia" w:ascii="Times New Roman" w:hAnsi="Times New Roman" w:eastAsia="宋体" w:cs="Times New Roman"/>
                      <w:color w:val="000000"/>
                      <w:sz w:val="18"/>
                      <w:szCs w:val="18"/>
                      <w:vertAlign w:val="superscript"/>
                      <w:lang w:val="en-US" w:eastAsia="zh-CN"/>
                    </w:rPr>
                    <w:t>3</w:t>
                  </w:r>
                  <w:r>
                    <w:rPr>
                      <w:rFonts w:hint="eastAsia" w:ascii="Times New Roman" w:hAnsi="Times New Roman" w:eastAsia="宋体" w:cs="Times New Roman"/>
                      <w:color w:val="000000"/>
                      <w:sz w:val="18"/>
                      <w:szCs w:val="18"/>
                      <w:lang w:val="en-US" w:eastAsia="zh-CN"/>
                    </w:rPr>
                    <w:t>/d）、嘉丰大东矿山废水循环利用处理站（处理工艺沉淀+压榨，处理能力6000m</w:t>
                  </w:r>
                  <w:r>
                    <w:rPr>
                      <w:rFonts w:hint="eastAsia" w:ascii="Times New Roman" w:hAnsi="Times New Roman" w:eastAsia="宋体" w:cs="Times New Roman"/>
                      <w:color w:val="000000"/>
                      <w:sz w:val="18"/>
                      <w:szCs w:val="18"/>
                      <w:vertAlign w:val="superscript"/>
                      <w:lang w:val="en-US" w:eastAsia="zh-CN"/>
                    </w:rPr>
                    <w:t>3</w:t>
                  </w:r>
                  <w:r>
                    <w:rPr>
                      <w:rFonts w:hint="eastAsia" w:ascii="Times New Roman" w:hAnsi="Times New Roman" w:eastAsia="宋体" w:cs="Times New Roman"/>
                      <w:color w:val="000000"/>
                      <w:sz w:val="18"/>
                      <w:szCs w:val="18"/>
                      <w:lang w:val="en-US" w:eastAsia="zh-CN"/>
                    </w:rPr>
                    <w:t>/d）、显套湾矿山废水循环利用处理站（处理工艺沉淀+压榨，处理能力2000m</w:t>
                  </w:r>
                  <w:r>
                    <w:rPr>
                      <w:rFonts w:hint="eastAsia" w:ascii="Times New Roman" w:hAnsi="Times New Roman" w:eastAsia="宋体" w:cs="Times New Roman"/>
                      <w:color w:val="000000"/>
                      <w:sz w:val="18"/>
                      <w:szCs w:val="18"/>
                      <w:vertAlign w:val="superscript"/>
                      <w:lang w:val="en-US" w:eastAsia="zh-CN"/>
                    </w:rPr>
                    <w:t>3</w:t>
                  </w:r>
                  <w:r>
                    <w:rPr>
                      <w:rFonts w:hint="eastAsia" w:ascii="Times New Roman" w:hAnsi="Times New Roman" w:eastAsia="宋体" w:cs="Times New Roman"/>
                      <w:color w:val="000000"/>
                      <w:sz w:val="18"/>
                      <w:szCs w:val="18"/>
                      <w:lang w:val="en-US" w:eastAsia="zh-CN"/>
                    </w:rPr>
                    <w:t>/d）、元昌应急处理站</w:t>
                  </w:r>
                  <w:r>
                    <w:rPr>
                      <w:rFonts w:hint="eastAsia" w:ascii="Times New Roman" w:hAnsi="Times New Roman" w:eastAsia="宋体" w:cs="Times New Roman"/>
                      <w:color w:val="000000"/>
                      <w:sz w:val="18"/>
                      <w:szCs w:val="18"/>
                      <w:highlight w:val="none"/>
                      <w:lang w:val="en-US" w:eastAsia="zh-CN"/>
                    </w:rPr>
                    <w:t>（处理工艺沉淀+压榨，处理能力7500m</w:t>
                  </w:r>
                  <w:r>
                    <w:rPr>
                      <w:rFonts w:hint="eastAsia" w:ascii="Times New Roman" w:hAnsi="Times New Roman" w:eastAsia="宋体" w:cs="Times New Roman"/>
                      <w:color w:val="000000"/>
                      <w:sz w:val="18"/>
                      <w:szCs w:val="18"/>
                      <w:highlight w:val="none"/>
                      <w:vertAlign w:val="superscript"/>
                      <w:lang w:val="en-US" w:eastAsia="zh-CN"/>
                    </w:rPr>
                    <w:t>3</w:t>
                  </w:r>
                  <w:r>
                    <w:rPr>
                      <w:rFonts w:hint="eastAsia" w:ascii="Times New Roman" w:hAnsi="Times New Roman" w:eastAsia="宋体" w:cs="Times New Roman"/>
                      <w:color w:val="000000"/>
                      <w:sz w:val="18"/>
                      <w:szCs w:val="18"/>
                      <w:highlight w:val="none"/>
                      <w:lang w:val="en-US" w:eastAsia="zh-CN"/>
                    </w:rPr>
                    <w:t>/d），合计处理能力为18000m</w:t>
                  </w:r>
                  <w:r>
                    <w:rPr>
                      <w:rFonts w:hint="eastAsia" w:ascii="Times New Roman" w:hAnsi="Times New Roman" w:eastAsia="宋体" w:cs="Times New Roman"/>
                      <w:color w:val="000000"/>
                      <w:sz w:val="18"/>
                      <w:szCs w:val="18"/>
                      <w:highlight w:val="none"/>
                      <w:vertAlign w:val="superscript"/>
                      <w:lang w:val="en-US" w:eastAsia="zh-CN"/>
                    </w:rPr>
                    <w:t>3</w:t>
                  </w:r>
                  <w:r>
                    <w:rPr>
                      <w:rFonts w:hint="eastAsia" w:ascii="Times New Roman" w:hAnsi="Times New Roman" w:eastAsia="宋体" w:cs="Times New Roman"/>
                      <w:color w:val="000000"/>
                      <w:sz w:val="18"/>
                      <w:szCs w:val="18"/>
                      <w:highlight w:val="none"/>
                      <w:lang w:val="en-US" w:eastAsia="zh-CN"/>
                    </w:rPr>
                    <w:t>/d。C8区块废水（含初期雨水）产生量为</w:t>
                  </w:r>
                  <w:r>
                    <w:rPr>
                      <w:rFonts w:hint="eastAsia" w:ascii="Times New Roman" w:hAnsi="Times New Roman" w:eastAsia="宋体" w:cs="Times New Roman"/>
                      <w:b w:val="0"/>
                      <w:bCs/>
                      <w:color w:val="000000"/>
                      <w:kern w:val="0"/>
                      <w:sz w:val="18"/>
                      <w:szCs w:val="18"/>
                      <w:highlight w:val="none"/>
                      <w:lang w:val="en-US" w:eastAsia="zh-CN" w:bidi="ar"/>
                    </w:rPr>
                    <w:t>3005.52</w:t>
                  </w:r>
                  <w:r>
                    <w:rPr>
                      <w:rFonts w:hint="eastAsia" w:ascii="Times New Roman" w:hAnsi="Times New Roman" w:eastAsia="宋体" w:cs="Times New Roman"/>
                      <w:b w:val="0"/>
                      <w:bCs/>
                      <w:color w:val="000000"/>
                      <w:sz w:val="18"/>
                      <w:szCs w:val="18"/>
                      <w:highlight w:val="none"/>
                      <w:lang w:val="en-US" w:eastAsia="zh-CN"/>
                    </w:rPr>
                    <w:t>m</w:t>
                  </w:r>
                  <w:r>
                    <w:rPr>
                      <w:rFonts w:hint="eastAsia" w:ascii="Times New Roman" w:hAnsi="Times New Roman" w:eastAsia="宋体" w:cs="Times New Roman"/>
                      <w:b w:val="0"/>
                      <w:bCs/>
                      <w:color w:val="000000"/>
                      <w:sz w:val="18"/>
                      <w:szCs w:val="18"/>
                      <w:highlight w:val="none"/>
                      <w:vertAlign w:val="superscript"/>
                      <w:lang w:val="en-US" w:eastAsia="zh-CN"/>
                    </w:rPr>
                    <w:t>3</w:t>
                  </w:r>
                  <w:r>
                    <w:rPr>
                      <w:rFonts w:hint="eastAsia" w:ascii="Times New Roman" w:hAnsi="Times New Roman" w:eastAsia="宋体" w:cs="Times New Roman"/>
                      <w:b w:val="0"/>
                      <w:bCs/>
                      <w:color w:val="000000"/>
                      <w:sz w:val="18"/>
                      <w:szCs w:val="18"/>
                      <w:highlight w:val="none"/>
                      <w:lang w:val="en-US" w:eastAsia="zh-CN"/>
                    </w:rPr>
                    <w:t>/d</w:t>
                  </w:r>
                  <w:r>
                    <w:rPr>
                      <w:rFonts w:hint="eastAsia" w:ascii="Times New Roman" w:hAnsi="Times New Roman" w:eastAsia="宋体" w:cs="Times New Roman"/>
                      <w:color w:val="000000"/>
                      <w:sz w:val="18"/>
                      <w:szCs w:val="18"/>
                      <w:highlight w:val="none"/>
                      <w:lang w:val="en-US" w:eastAsia="zh-CN"/>
                    </w:rPr>
                    <w:t>，依托现有完全可行。</w:t>
                  </w:r>
                </w:p>
              </w:tc>
              <w:tc>
                <w:tcPr>
                  <w:tcW w:w="1125" w:type="dxa"/>
                  <w:tcBorders>
                    <w:tl2br w:val="nil"/>
                    <w:tr2bl w:val="nil"/>
                  </w:tcBorders>
                  <w:noWrap w:val="0"/>
                  <w:vAlign w:val="center"/>
                </w:tcPr>
                <w:p w14:paraId="4EC266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pacing w:val="0"/>
                      <w:position w:val="0"/>
                      <w:sz w:val="18"/>
                      <w:szCs w:val="18"/>
                      <w:highlight w:val="none"/>
                      <w:lang w:eastAsia="zh-CN"/>
                    </w:rPr>
                  </w:pPr>
                  <w:r>
                    <w:rPr>
                      <w:rFonts w:hint="eastAsia" w:cs="Times New Roman"/>
                      <w:color w:val="000000"/>
                      <w:spacing w:val="0"/>
                      <w:position w:val="0"/>
                      <w:sz w:val="18"/>
                      <w:szCs w:val="18"/>
                      <w:highlight w:val="none"/>
                      <w:lang w:val="en-US" w:eastAsia="zh-CN"/>
                    </w:rPr>
                    <w:t>无变化</w:t>
                  </w:r>
                </w:p>
              </w:tc>
            </w:tr>
            <w:tr w14:paraId="408E82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vMerge w:val="continue"/>
                  <w:tcBorders>
                    <w:tl2br w:val="nil"/>
                    <w:tr2bl w:val="nil"/>
                  </w:tcBorders>
                  <w:noWrap w:val="0"/>
                  <w:tcMar>
                    <w:top w:w="57" w:type="dxa"/>
                    <w:left w:w="28" w:type="dxa"/>
                    <w:bottom w:w="57" w:type="dxa"/>
                    <w:right w:w="28" w:type="dxa"/>
                  </w:tcMar>
                  <w:vAlign w:val="center"/>
                </w:tcPr>
                <w:p w14:paraId="051216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yellow"/>
                    </w:rPr>
                  </w:pPr>
                </w:p>
              </w:tc>
              <w:tc>
                <w:tcPr>
                  <w:tcW w:w="906" w:type="dxa"/>
                  <w:gridSpan w:val="2"/>
                  <w:tcBorders>
                    <w:tl2br w:val="nil"/>
                    <w:tr2bl w:val="nil"/>
                  </w:tcBorders>
                  <w:noWrap w:val="0"/>
                  <w:tcMar>
                    <w:top w:w="57" w:type="dxa"/>
                    <w:left w:w="28" w:type="dxa"/>
                    <w:bottom w:w="57" w:type="dxa"/>
                    <w:right w:w="28" w:type="dxa"/>
                  </w:tcMar>
                  <w:vAlign w:val="center"/>
                </w:tcPr>
                <w:p w14:paraId="1DDFC0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yellow"/>
                    </w:rPr>
                  </w:pPr>
                  <w:r>
                    <w:rPr>
                      <w:rFonts w:hint="default" w:ascii="Times New Roman" w:hAnsi="Times New Roman" w:eastAsia="宋体" w:cs="Times New Roman"/>
                      <w:sz w:val="18"/>
                      <w:szCs w:val="18"/>
                      <w:highlight w:val="none"/>
                    </w:rPr>
                    <w:t>噪声治理</w:t>
                  </w:r>
                </w:p>
              </w:tc>
              <w:tc>
                <w:tcPr>
                  <w:tcW w:w="3444" w:type="dxa"/>
                  <w:tcBorders>
                    <w:tl2br w:val="nil"/>
                    <w:tr2bl w:val="nil"/>
                  </w:tcBorders>
                  <w:noWrap w:val="0"/>
                  <w:vAlign w:val="center"/>
                </w:tcPr>
                <w:p w14:paraId="53FA17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eastAsia" w:ascii="Times New Roman" w:hAnsi="Times New Roman" w:eastAsia="宋体" w:cs="Times New Roman"/>
                      <w:sz w:val="18"/>
                      <w:szCs w:val="18"/>
                      <w:highlight w:val="none"/>
                      <w:lang w:eastAsia="zh-CN"/>
                    </w:rPr>
                  </w:pPr>
                  <w:r>
                    <w:rPr>
                      <w:rFonts w:hint="default" w:ascii="Times New Roman" w:hAnsi="Times New Roman" w:eastAsia="宋体" w:cs="Times New Roman"/>
                      <w:color w:val="000000"/>
                      <w:sz w:val="18"/>
                      <w:szCs w:val="18"/>
                      <w:highlight w:val="none"/>
                    </w:rPr>
                    <w:t>基础减震、绿化隔声等措施；配低音喇叭，合理安排工作时间</w:t>
                  </w:r>
                  <w:r>
                    <w:rPr>
                      <w:rFonts w:hint="eastAsia" w:ascii="Times New Roman" w:hAnsi="Times New Roman" w:eastAsia="宋体" w:cs="Times New Roman"/>
                      <w:color w:val="000000"/>
                      <w:sz w:val="18"/>
                      <w:szCs w:val="18"/>
                      <w:highlight w:val="none"/>
                      <w:lang w:eastAsia="zh-CN"/>
                    </w:rPr>
                    <w:t>。</w:t>
                  </w:r>
                </w:p>
              </w:tc>
              <w:tc>
                <w:tcPr>
                  <w:tcW w:w="3205" w:type="dxa"/>
                  <w:tcBorders>
                    <w:tl2br w:val="nil"/>
                    <w:tr2bl w:val="nil"/>
                  </w:tcBorders>
                  <w:noWrap w:val="0"/>
                  <w:vAlign w:val="center"/>
                </w:tcPr>
                <w:p w14:paraId="25E233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sz w:val="18"/>
                      <w:szCs w:val="18"/>
                      <w:highlight w:val="yellow"/>
                      <w:lang w:eastAsia="zh-CN"/>
                    </w:rPr>
                  </w:pPr>
                  <w:r>
                    <w:rPr>
                      <w:rFonts w:hint="default" w:ascii="Times New Roman" w:hAnsi="Times New Roman" w:eastAsia="宋体" w:cs="Times New Roman"/>
                      <w:color w:val="000000"/>
                      <w:sz w:val="18"/>
                      <w:szCs w:val="18"/>
                      <w:highlight w:val="none"/>
                    </w:rPr>
                    <w:t>基础减震、绿化隔声等措施；配低音喇叭，合理安排工作时间</w:t>
                  </w:r>
                  <w:r>
                    <w:rPr>
                      <w:rFonts w:hint="eastAsia" w:ascii="Times New Roman" w:hAnsi="Times New Roman" w:eastAsia="宋体" w:cs="Times New Roman"/>
                      <w:color w:val="000000"/>
                      <w:sz w:val="18"/>
                      <w:szCs w:val="18"/>
                      <w:highlight w:val="none"/>
                      <w:lang w:eastAsia="zh-CN"/>
                    </w:rPr>
                    <w:t>。</w:t>
                  </w:r>
                </w:p>
              </w:tc>
              <w:tc>
                <w:tcPr>
                  <w:tcW w:w="1125" w:type="dxa"/>
                  <w:tcBorders>
                    <w:tl2br w:val="nil"/>
                    <w:tr2bl w:val="nil"/>
                  </w:tcBorders>
                  <w:noWrap w:val="0"/>
                  <w:vAlign w:val="center"/>
                </w:tcPr>
                <w:p w14:paraId="200FAC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lang w:val="en-US" w:eastAsia="zh-CN"/>
                    </w:rPr>
                  </w:pPr>
                  <w:r>
                    <w:rPr>
                      <w:rFonts w:hint="eastAsia" w:cs="Times New Roman"/>
                      <w:color w:val="000000"/>
                      <w:spacing w:val="0"/>
                      <w:position w:val="0"/>
                      <w:sz w:val="18"/>
                      <w:szCs w:val="18"/>
                      <w:highlight w:val="none"/>
                      <w:lang w:val="en-US" w:eastAsia="zh-CN"/>
                    </w:rPr>
                    <w:t>无变化</w:t>
                  </w:r>
                </w:p>
              </w:tc>
            </w:tr>
            <w:tr w14:paraId="0FFFBD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vMerge w:val="continue"/>
                  <w:tcBorders>
                    <w:tl2br w:val="nil"/>
                    <w:tr2bl w:val="nil"/>
                  </w:tcBorders>
                  <w:noWrap w:val="0"/>
                  <w:tcMar>
                    <w:top w:w="57" w:type="dxa"/>
                    <w:left w:w="28" w:type="dxa"/>
                    <w:bottom w:w="57" w:type="dxa"/>
                    <w:right w:w="28" w:type="dxa"/>
                  </w:tcMar>
                  <w:vAlign w:val="center"/>
                </w:tcPr>
                <w:p w14:paraId="3F6241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yellow"/>
                    </w:rPr>
                  </w:pPr>
                </w:p>
              </w:tc>
              <w:tc>
                <w:tcPr>
                  <w:tcW w:w="906" w:type="dxa"/>
                  <w:gridSpan w:val="2"/>
                  <w:tcBorders>
                    <w:tl2br w:val="nil"/>
                    <w:tr2bl w:val="nil"/>
                  </w:tcBorders>
                  <w:noWrap w:val="0"/>
                  <w:tcMar>
                    <w:top w:w="57" w:type="dxa"/>
                    <w:left w:w="28" w:type="dxa"/>
                    <w:bottom w:w="57" w:type="dxa"/>
                    <w:right w:w="28" w:type="dxa"/>
                  </w:tcMar>
                  <w:vAlign w:val="center"/>
                </w:tcPr>
                <w:p w14:paraId="087BF9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yellow"/>
                    </w:rPr>
                  </w:pPr>
                  <w:r>
                    <w:rPr>
                      <w:rFonts w:hint="default" w:ascii="Times New Roman" w:hAnsi="Times New Roman" w:eastAsia="宋体" w:cs="Times New Roman"/>
                      <w:spacing w:val="0"/>
                      <w:position w:val="0"/>
                      <w:sz w:val="18"/>
                      <w:szCs w:val="18"/>
                      <w:highlight w:val="none"/>
                    </w:rPr>
                    <w:t>固废处理</w:t>
                  </w:r>
                </w:p>
              </w:tc>
              <w:tc>
                <w:tcPr>
                  <w:tcW w:w="3444" w:type="dxa"/>
                  <w:tcBorders>
                    <w:tl2br w:val="nil"/>
                    <w:tr2bl w:val="nil"/>
                  </w:tcBorders>
                  <w:noWrap w:val="0"/>
                  <w:vAlign w:val="center"/>
                </w:tcPr>
                <w:p w14:paraId="6DFE7D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sz w:val="18"/>
                      <w:szCs w:val="18"/>
                      <w:highlight w:val="yellow"/>
                    </w:rPr>
                  </w:pPr>
                  <w:r>
                    <w:rPr>
                      <w:rFonts w:hint="default" w:ascii="Times New Roman" w:hAnsi="Times New Roman" w:eastAsia="宋体" w:cs="Times New Roman"/>
                      <w:color w:val="000000"/>
                      <w:spacing w:val="0"/>
                      <w:position w:val="0"/>
                      <w:sz w:val="18"/>
                      <w:szCs w:val="18"/>
                      <w:highlight w:val="none"/>
                      <w:lang w:eastAsia="zh-CN"/>
                    </w:rPr>
                    <w:t>矿山企业生产</w:t>
                  </w:r>
                  <w:r>
                    <w:rPr>
                      <w:rFonts w:hint="eastAsia" w:ascii="Times New Roman" w:hAnsi="Times New Roman" w:eastAsia="宋体" w:cs="Times New Roman"/>
                      <w:color w:val="000000"/>
                      <w:spacing w:val="0"/>
                      <w:position w:val="0"/>
                      <w:sz w:val="18"/>
                      <w:szCs w:val="18"/>
                      <w:highlight w:val="none"/>
                      <w:lang w:val="en-US" w:eastAsia="zh-CN"/>
                    </w:rPr>
                    <w:t>废料</w:t>
                  </w:r>
                  <w:r>
                    <w:rPr>
                      <w:rFonts w:hint="default" w:ascii="Times New Roman" w:hAnsi="Times New Roman" w:eastAsia="宋体" w:cs="Times New Roman"/>
                      <w:color w:val="000000"/>
                      <w:spacing w:val="0"/>
                      <w:position w:val="0"/>
                      <w:sz w:val="18"/>
                      <w:szCs w:val="18"/>
                      <w:highlight w:val="none"/>
                      <w:lang w:eastAsia="zh-CN"/>
                    </w:rPr>
                    <w:t>及剥离风化层直接由山下碎石加工企业负责运输至建筑石料加工工业场地</w:t>
                  </w:r>
                  <w:r>
                    <w:rPr>
                      <w:rFonts w:hint="eastAsia" w:ascii="Times New Roman" w:hAnsi="Times New Roman" w:eastAsia="宋体" w:cs="Times New Roman"/>
                      <w:color w:val="000000"/>
                      <w:spacing w:val="0"/>
                      <w:position w:val="0"/>
                      <w:sz w:val="18"/>
                      <w:szCs w:val="18"/>
                      <w:highlight w:val="none"/>
                      <w:lang w:eastAsia="zh-CN"/>
                    </w:rPr>
                    <w:t>、</w:t>
                  </w:r>
                  <w:r>
                    <w:rPr>
                      <w:rFonts w:hint="default" w:ascii="Times New Roman" w:hAnsi="Times New Roman" w:eastAsia="宋体" w:cs="Times New Roman"/>
                      <w:color w:val="000000"/>
                      <w:spacing w:val="0"/>
                      <w:position w:val="0"/>
                      <w:sz w:val="18"/>
                      <w:szCs w:val="18"/>
                      <w:highlight w:val="none"/>
                      <w:lang w:eastAsia="zh-CN"/>
                    </w:rPr>
                    <w:t>含油废手套废抹布可混入生活垃圾处理</w:t>
                  </w:r>
                  <w:r>
                    <w:rPr>
                      <w:rFonts w:hint="eastAsia" w:ascii="Times New Roman" w:hAnsi="Times New Roman" w:eastAsia="宋体" w:cs="Times New Roman"/>
                      <w:color w:val="000000"/>
                      <w:spacing w:val="0"/>
                      <w:position w:val="0"/>
                      <w:sz w:val="18"/>
                      <w:szCs w:val="18"/>
                      <w:highlight w:val="none"/>
                      <w:lang w:eastAsia="zh-CN"/>
                    </w:rPr>
                    <w:t>，</w:t>
                  </w:r>
                  <w:r>
                    <w:rPr>
                      <w:rFonts w:hint="default" w:ascii="Times New Roman" w:hAnsi="Times New Roman" w:eastAsia="宋体" w:cs="Times New Roman"/>
                      <w:color w:val="000000"/>
                      <w:spacing w:val="0"/>
                      <w:position w:val="0"/>
                      <w:sz w:val="18"/>
                      <w:szCs w:val="18"/>
                      <w:highlight w:val="none"/>
                      <w:lang w:eastAsia="zh-CN"/>
                    </w:rPr>
                    <w:t>生活垃圾集中收集后交由当地环卫部门处置</w:t>
                  </w:r>
                  <w:r>
                    <w:rPr>
                      <w:rFonts w:hint="eastAsia" w:ascii="Times New Roman" w:hAnsi="Times New Roman" w:eastAsia="宋体" w:cs="Times New Roman"/>
                      <w:color w:val="000000"/>
                      <w:spacing w:val="0"/>
                      <w:position w:val="0"/>
                      <w:sz w:val="18"/>
                      <w:szCs w:val="18"/>
                      <w:highlight w:val="none"/>
                      <w:lang w:eastAsia="zh-CN"/>
                    </w:rPr>
                    <w:t>，沉淀池污泥定期清掏压滤后作为建筑材料外售，废机油暂存于危废间，交有有资质单位处理。</w:t>
                  </w:r>
                </w:p>
              </w:tc>
              <w:tc>
                <w:tcPr>
                  <w:tcW w:w="3205" w:type="dxa"/>
                  <w:tcBorders>
                    <w:tl2br w:val="nil"/>
                    <w:tr2bl w:val="nil"/>
                  </w:tcBorders>
                  <w:noWrap w:val="0"/>
                  <w:vAlign w:val="center"/>
                </w:tcPr>
                <w:p w14:paraId="46CE0E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sz w:val="18"/>
                      <w:szCs w:val="18"/>
                      <w:highlight w:val="yellow"/>
                      <w:lang w:eastAsia="zh-CN"/>
                    </w:rPr>
                  </w:pPr>
                  <w:r>
                    <w:rPr>
                      <w:rFonts w:hint="default" w:ascii="Times New Roman" w:hAnsi="Times New Roman" w:eastAsia="宋体" w:cs="Times New Roman"/>
                      <w:color w:val="000000"/>
                      <w:spacing w:val="0"/>
                      <w:position w:val="0"/>
                      <w:sz w:val="18"/>
                      <w:szCs w:val="18"/>
                      <w:highlight w:val="none"/>
                      <w:lang w:eastAsia="zh-CN"/>
                    </w:rPr>
                    <w:t>矿山企业生产</w:t>
                  </w:r>
                  <w:r>
                    <w:rPr>
                      <w:rFonts w:hint="eastAsia" w:ascii="Times New Roman" w:hAnsi="Times New Roman" w:eastAsia="宋体" w:cs="Times New Roman"/>
                      <w:color w:val="000000"/>
                      <w:spacing w:val="0"/>
                      <w:position w:val="0"/>
                      <w:sz w:val="18"/>
                      <w:szCs w:val="18"/>
                      <w:highlight w:val="none"/>
                      <w:lang w:val="en-US" w:eastAsia="zh-CN"/>
                    </w:rPr>
                    <w:t>废料</w:t>
                  </w:r>
                  <w:r>
                    <w:rPr>
                      <w:rFonts w:hint="default" w:ascii="Times New Roman" w:hAnsi="Times New Roman" w:eastAsia="宋体" w:cs="Times New Roman"/>
                      <w:color w:val="000000"/>
                      <w:spacing w:val="0"/>
                      <w:position w:val="0"/>
                      <w:sz w:val="18"/>
                      <w:szCs w:val="18"/>
                      <w:highlight w:val="none"/>
                      <w:lang w:eastAsia="zh-CN"/>
                    </w:rPr>
                    <w:t>及剥离风化层直接由山下碎石加工企业负责运输至建筑石料加工工业场地</w:t>
                  </w:r>
                  <w:r>
                    <w:rPr>
                      <w:rFonts w:hint="eastAsia" w:ascii="Times New Roman" w:hAnsi="Times New Roman" w:eastAsia="宋体" w:cs="Times New Roman"/>
                      <w:color w:val="000000"/>
                      <w:spacing w:val="0"/>
                      <w:position w:val="0"/>
                      <w:sz w:val="18"/>
                      <w:szCs w:val="18"/>
                      <w:highlight w:val="none"/>
                      <w:lang w:eastAsia="zh-CN"/>
                    </w:rPr>
                    <w:t>、</w:t>
                  </w:r>
                  <w:r>
                    <w:rPr>
                      <w:rFonts w:hint="default" w:ascii="Times New Roman" w:hAnsi="Times New Roman" w:eastAsia="宋体" w:cs="Times New Roman"/>
                      <w:color w:val="000000"/>
                      <w:spacing w:val="0"/>
                      <w:position w:val="0"/>
                      <w:sz w:val="18"/>
                      <w:szCs w:val="18"/>
                      <w:highlight w:val="none"/>
                      <w:lang w:eastAsia="zh-CN"/>
                    </w:rPr>
                    <w:t>生活垃圾集中收集后交由当地环卫部门处置</w:t>
                  </w:r>
                  <w:r>
                    <w:rPr>
                      <w:rFonts w:hint="eastAsia" w:ascii="Times New Roman" w:hAnsi="Times New Roman" w:eastAsia="宋体" w:cs="Times New Roman"/>
                      <w:color w:val="000000"/>
                      <w:spacing w:val="0"/>
                      <w:position w:val="0"/>
                      <w:sz w:val="18"/>
                      <w:szCs w:val="18"/>
                      <w:highlight w:val="none"/>
                      <w:lang w:eastAsia="zh-CN"/>
                    </w:rPr>
                    <w:t>，沉淀池污泥定期清掏压滤后作为建筑材料外售，</w:t>
                  </w:r>
                  <w:r>
                    <w:rPr>
                      <w:rFonts w:hint="default" w:ascii="Times New Roman" w:hAnsi="Times New Roman" w:eastAsia="宋体" w:cs="Times New Roman"/>
                      <w:color w:val="000000"/>
                      <w:spacing w:val="0"/>
                      <w:position w:val="0"/>
                      <w:sz w:val="18"/>
                      <w:szCs w:val="18"/>
                      <w:highlight w:val="none"/>
                      <w:lang w:eastAsia="zh-CN"/>
                    </w:rPr>
                    <w:t>含油废手套废抹布</w:t>
                  </w:r>
                  <w:r>
                    <w:rPr>
                      <w:rFonts w:hint="eastAsia" w:ascii="Times New Roman" w:hAnsi="Times New Roman" w:cs="Times New Roman"/>
                      <w:color w:val="000000"/>
                      <w:spacing w:val="0"/>
                      <w:position w:val="0"/>
                      <w:sz w:val="18"/>
                      <w:szCs w:val="18"/>
                      <w:highlight w:val="none"/>
                      <w:lang w:eastAsia="zh-CN"/>
                    </w:rPr>
                    <w:t>、</w:t>
                  </w:r>
                  <w:r>
                    <w:rPr>
                      <w:rFonts w:hint="eastAsia" w:ascii="Times New Roman" w:hAnsi="Times New Roman" w:eastAsia="宋体" w:cs="Times New Roman"/>
                      <w:color w:val="000000"/>
                      <w:spacing w:val="0"/>
                      <w:position w:val="0"/>
                      <w:sz w:val="18"/>
                      <w:szCs w:val="18"/>
                      <w:highlight w:val="none"/>
                      <w:lang w:eastAsia="zh-CN"/>
                    </w:rPr>
                    <w:t>废机油暂存于危废间，交有资质单位处理。</w:t>
                  </w:r>
                </w:p>
              </w:tc>
              <w:tc>
                <w:tcPr>
                  <w:tcW w:w="1125" w:type="dxa"/>
                  <w:tcBorders>
                    <w:tl2br w:val="nil"/>
                    <w:tr2bl w:val="nil"/>
                  </w:tcBorders>
                  <w:noWrap w:val="0"/>
                  <w:vAlign w:val="center"/>
                </w:tcPr>
                <w:p w14:paraId="7D4004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pacing w:val="0"/>
                      <w:position w:val="0"/>
                      <w:sz w:val="18"/>
                      <w:szCs w:val="18"/>
                      <w:highlight w:val="none"/>
                      <w:lang w:val="en-US" w:eastAsia="zh-CN"/>
                    </w:rPr>
                  </w:pPr>
                  <w:r>
                    <w:rPr>
                      <w:rFonts w:hint="eastAsia" w:cs="Times New Roman"/>
                      <w:color w:val="000000"/>
                      <w:spacing w:val="0"/>
                      <w:position w:val="0"/>
                      <w:sz w:val="18"/>
                      <w:szCs w:val="18"/>
                      <w:highlight w:val="none"/>
                      <w:lang w:val="en-US" w:eastAsia="zh-CN"/>
                    </w:rPr>
                    <w:t>变化，</w:t>
                  </w:r>
                  <w:r>
                    <w:rPr>
                      <w:rFonts w:hint="default" w:ascii="Times New Roman" w:hAnsi="Times New Roman" w:eastAsia="宋体" w:cs="Times New Roman"/>
                      <w:color w:val="000000"/>
                      <w:spacing w:val="0"/>
                      <w:position w:val="0"/>
                      <w:sz w:val="18"/>
                      <w:szCs w:val="18"/>
                      <w:highlight w:val="none"/>
                      <w:lang w:eastAsia="zh-CN"/>
                    </w:rPr>
                    <w:t>含油废手套废抹布</w:t>
                  </w:r>
                  <w:r>
                    <w:rPr>
                      <w:rFonts w:hint="eastAsia" w:ascii="Times New Roman" w:hAnsi="Times New Roman" w:cs="Times New Roman"/>
                      <w:color w:val="000000"/>
                      <w:spacing w:val="0"/>
                      <w:position w:val="0"/>
                      <w:sz w:val="18"/>
                      <w:szCs w:val="18"/>
                      <w:highlight w:val="none"/>
                      <w:lang w:val="en-US" w:eastAsia="zh-CN"/>
                    </w:rPr>
                    <w:t>作为危险废物暂存于危废暂存间，</w:t>
                  </w:r>
                  <w:r>
                    <w:rPr>
                      <w:rFonts w:hint="eastAsia" w:ascii="Times New Roman" w:hAnsi="Times New Roman" w:eastAsia="宋体" w:cs="Times New Roman"/>
                      <w:color w:val="000000"/>
                      <w:spacing w:val="0"/>
                      <w:position w:val="0"/>
                      <w:sz w:val="18"/>
                      <w:szCs w:val="18"/>
                      <w:highlight w:val="none"/>
                      <w:lang w:eastAsia="zh-CN"/>
                    </w:rPr>
                    <w:t>交有资质单位处理。</w:t>
                  </w:r>
                </w:p>
              </w:tc>
            </w:tr>
            <w:tr w14:paraId="66FE70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vMerge w:val="continue"/>
                  <w:tcBorders>
                    <w:tl2br w:val="nil"/>
                    <w:tr2bl w:val="nil"/>
                  </w:tcBorders>
                  <w:noWrap w:val="0"/>
                  <w:tcMar>
                    <w:top w:w="57" w:type="dxa"/>
                    <w:left w:w="28" w:type="dxa"/>
                    <w:bottom w:w="57" w:type="dxa"/>
                    <w:right w:w="28" w:type="dxa"/>
                  </w:tcMar>
                  <w:vAlign w:val="center"/>
                </w:tcPr>
                <w:p w14:paraId="35D7E6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yellow"/>
                    </w:rPr>
                  </w:pPr>
                </w:p>
              </w:tc>
              <w:tc>
                <w:tcPr>
                  <w:tcW w:w="906" w:type="dxa"/>
                  <w:gridSpan w:val="2"/>
                  <w:tcBorders>
                    <w:tl2br w:val="nil"/>
                    <w:tr2bl w:val="nil"/>
                  </w:tcBorders>
                  <w:noWrap w:val="0"/>
                  <w:tcMar>
                    <w:top w:w="57" w:type="dxa"/>
                    <w:left w:w="28" w:type="dxa"/>
                    <w:bottom w:w="57" w:type="dxa"/>
                    <w:right w:w="28" w:type="dxa"/>
                  </w:tcMar>
                  <w:vAlign w:val="center"/>
                </w:tcPr>
                <w:p w14:paraId="3D0161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eastAsia" w:ascii="Times New Roman" w:hAnsi="Times New Roman" w:eastAsia="宋体" w:cs="Times New Roman"/>
                      <w:sz w:val="18"/>
                      <w:szCs w:val="18"/>
                      <w:highlight w:val="yellow"/>
                      <w:lang w:eastAsia="zh-CN"/>
                    </w:rPr>
                  </w:pPr>
                  <w:r>
                    <w:rPr>
                      <w:rFonts w:hint="eastAsia" w:ascii="Times New Roman" w:hAnsi="Times New Roman" w:eastAsia="宋体" w:cs="Times New Roman"/>
                      <w:spacing w:val="0"/>
                      <w:position w:val="0"/>
                      <w:sz w:val="18"/>
                      <w:szCs w:val="18"/>
                      <w:highlight w:val="none"/>
                      <w:lang w:eastAsia="zh-CN"/>
                    </w:rPr>
                    <w:t>生态恢复</w:t>
                  </w:r>
                </w:p>
              </w:tc>
              <w:tc>
                <w:tcPr>
                  <w:tcW w:w="3444" w:type="dxa"/>
                  <w:tcBorders>
                    <w:tl2br w:val="nil"/>
                    <w:tr2bl w:val="nil"/>
                  </w:tcBorders>
                  <w:noWrap w:val="0"/>
                  <w:vAlign w:val="center"/>
                </w:tcPr>
                <w:p w14:paraId="59CD4C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color w:val="000000"/>
                      <w:sz w:val="18"/>
                      <w:szCs w:val="18"/>
                      <w:highlight w:val="yellow"/>
                    </w:rPr>
                  </w:pPr>
                  <w:r>
                    <w:rPr>
                      <w:rFonts w:hint="default" w:ascii="Times New Roman" w:hAnsi="Times New Roman" w:eastAsia="宋体" w:cs="Times New Roman"/>
                      <w:b w:val="0"/>
                      <w:bCs w:val="0"/>
                      <w:color w:val="000000"/>
                      <w:sz w:val="18"/>
                      <w:szCs w:val="18"/>
                      <w:highlight w:val="none"/>
                    </w:rPr>
                    <w:t>矿区</w:t>
                  </w:r>
                  <w:r>
                    <w:rPr>
                      <w:rFonts w:hint="eastAsia" w:ascii="Times New Roman" w:hAnsi="Times New Roman" w:eastAsia="宋体" w:cs="Times New Roman"/>
                      <w:b w:val="0"/>
                      <w:bCs w:val="0"/>
                      <w:color w:val="000000"/>
                      <w:sz w:val="18"/>
                      <w:szCs w:val="18"/>
                      <w:highlight w:val="none"/>
                      <w:lang w:eastAsia="zh-CN"/>
                    </w:rPr>
                    <w:t>露天采场</w:t>
                  </w:r>
                  <w:r>
                    <w:rPr>
                      <w:rFonts w:hint="default" w:ascii="Times New Roman" w:hAnsi="Times New Roman" w:eastAsia="宋体" w:cs="Times New Roman"/>
                      <w:b w:val="0"/>
                      <w:bCs w:val="0"/>
                      <w:color w:val="000000"/>
                      <w:sz w:val="18"/>
                      <w:szCs w:val="18"/>
                      <w:highlight w:val="none"/>
                    </w:rPr>
                    <w:t>、</w:t>
                  </w:r>
                  <w:r>
                    <w:rPr>
                      <w:rFonts w:hint="eastAsia" w:ascii="Times New Roman" w:hAnsi="Times New Roman" w:eastAsia="宋体" w:cs="Times New Roman"/>
                      <w:b w:val="0"/>
                      <w:bCs w:val="0"/>
                      <w:color w:val="000000"/>
                      <w:sz w:val="18"/>
                      <w:szCs w:val="18"/>
                      <w:highlight w:val="none"/>
                      <w:lang w:eastAsia="zh-CN"/>
                    </w:rPr>
                    <w:t>矿山</w:t>
                  </w:r>
                  <w:r>
                    <w:rPr>
                      <w:rFonts w:hint="default" w:ascii="Times New Roman" w:hAnsi="Times New Roman" w:eastAsia="宋体" w:cs="Times New Roman"/>
                      <w:b w:val="0"/>
                      <w:bCs w:val="0"/>
                      <w:color w:val="000000"/>
                      <w:sz w:val="18"/>
                      <w:szCs w:val="18"/>
                      <w:highlight w:val="none"/>
                    </w:rPr>
                    <w:t>道路</w:t>
                  </w:r>
                  <w:r>
                    <w:rPr>
                      <w:rFonts w:hint="eastAsia" w:ascii="Times New Roman" w:hAnsi="Times New Roman" w:eastAsia="宋体" w:cs="Times New Roman"/>
                      <w:b w:val="0"/>
                      <w:bCs w:val="0"/>
                      <w:color w:val="000000"/>
                      <w:sz w:val="18"/>
                      <w:szCs w:val="18"/>
                      <w:highlight w:val="none"/>
                      <w:lang w:eastAsia="zh-CN"/>
                    </w:rPr>
                    <w:t>及生活办公区</w:t>
                  </w:r>
                  <w:r>
                    <w:rPr>
                      <w:rFonts w:hint="default" w:ascii="Times New Roman" w:hAnsi="Times New Roman" w:eastAsia="宋体" w:cs="Times New Roman"/>
                      <w:b w:val="0"/>
                      <w:bCs w:val="0"/>
                      <w:color w:val="000000"/>
                      <w:sz w:val="18"/>
                      <w:szCs w:val="18"/>
                      <w:highlight w:val="none"/>
                    </w:rPr>
                    <w:t>按照要求进行土地复垦，并最终复垦为林地。</w:t>
                  </w:r>
                </w:p>
              </w:tc>
              <w:tc>
                <w:tcPr>
                  <w:tcW w:w="3205" w:type="dxa"/>
                  <w:tcBorders>
                    <w:tl2br w:val="nil"/>
                    <w:tr2bl w:val="nil"/>
                  </w:tcBorders>
                  <w:noWrap w:val="0"/>
                  <w:vAlign w:val="center"/>
                </w:tcPr>
                <w:p w14:paraId="426C92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sz w:val="18"/>
                      <w:szCs w:val="18"/>
                      <w:highlight w:val="yellow"/>
                      <w:lang w:eastAsia="zh-CN"/>
                    </w:rPr>
                  </w:pPr>
                  <w:r>
                    <w:rPr>
                      <w:rFonts w:hint="default" w:ascii="Times New Roman" w:hAnsi="Times New Roman" w:eastAsia="宋体" w:cs="Times New Roman"/>
                      <w:b w:val="0"/>
                      <w:bCs w:val="0"/>
                      <w:color w:val="000000"/>
                      <w:sz w:val="18"/>
                      <w:szCs w:val="18"/>
                      <w:highlight w:val="none"/>
                    </w:rPr>
                    <w:t>矿区</w:t>
                  </w:r>
                  <w:r>
                    <w:rPr>
                      <w:rFonts w:hint="eastAsia" w:ascii="Times New Roman" w:hAnsi="Times New Roman" w:eastAsia="宋体" w:cs="Times New Roman"/>
                      <w:b w:val="0"/>
                      <w:bCs w:val="0"/>
                      <w:color w:val="000000"/>
                      <w:sz w:val="18"/>
                      <w:szCs w:val="18"/>
                      <w:highlight w:val="none"/>
                      <w:lang w:eastAsia="zh-CN"/>
                    </w:rPr>
                    <w:t>露天采场</w:t>
                  </w:r>
                  <w:r>
                    <w:rPr>
                      <w:rFonts w:hint="default" w:ascii="Times New Roman" w:hAnsi="Times New Roman" w:eastAsia="宋体" w:cs="Times New Roman"/>
                      <w:b w:val="0"/>
                      <w:bCs w:val="0"/>
                      <w:color w:val="000000"/>
                      <w:sz w:val="18"/>
                      <w:szCs w:val="18"/>
                      <w:highlight w:val="none"/>
                    </w:rPr>
                    <w:t>、</w:t>
                  </w:r>
                  <w:r>
                    <w:rPr>
                      <w:rFonts w:hint="eastAsia" w:ascii="Times New Roman" w:hAnsi="Times New Roman" w:eastAsia="宋体" w:cs="Times New Roman"/>
                      <w:b w:val="0"/>
                      <w:bCs w:val="0"/>
                      <w:color w:val="000000"/>
                      <w:sz w:val="18"/>
                      <w:szCs w:val="18"/>
                      <w:highlight w:val="none"/>
                      <w:lang w:eastAsia="zh-CN"/>
                    </w:rPr>
                    <w:t>矿山</w:t>
                  </w:r>
                  <w:r>
                    <w:rPr>
                      <w:rFonts w:hint="default" w:ascii="Times New Roman" w:hAnsi="Times New Roman" w:eastAsia="宋体" w:cs="Times New Roman"/>
                      <w:b w:val="0"/>
                      <w:bCs w:val="0"/>
                      <w:color w:val="000000"/>
                      <w:sz w:val="18"/>
                      <w:szCs w:val="18"/>
                      <w:highlight w:val="none"/>
                    </w:rPr>
                    <w:t>道路</w:t>
                  </w:r>
                  <w:r>
                    <w:rPr>
                      <w:rFonts w:hint="eastAsia" w:ascii="Times New Roman" w:hAnsi="Times New Roman" w:eastAsia="宋体" w:cs="Times New Roman"/>
                      <w:b w:val="0"/>
                      <w:bCs w:val="0"/>
                      <w:color w:val="000000"/>
                      <w:sz w:val="18"/>
                      <w:szCs w:val="18"/>
                      <w:highlight w:val="none"/>
                      <w:lang w:eastAsia="zh-CN"/>
                    </w:rPr>
                    <w:t>及生活办公区</w:t>
                  </w:r>
                  <w:r>
                    <w:rPr>
                      <w:rFonts w:hint="default" w:ascii="Times New Roman" w:hAnsi="Times New Roman" w:eastAsia="宋体" w:cs="Times New Roman"/>
                      <w:b w:val="0"/>
                      <w:bCs w:val="0"/>
                      <w:color w:val="000000"/>
                      <w:sz w:val="18"/>
                      <w:szCs w:val="18"/>
                      <w:highlight w:val="none"/>
                    </w:rPr>
                    <w:t>按照要求进行土地复垦，并最终复垦为林地。</w:t>
                  </w:r>
                </w:p>
              </w:tc>
              <w:tc>
                <w:tcPr>
                  <w:tcW w:w="1125" w:type="dxa"/>
                  <w:tcBorders>
                    <w:tl2br w:val="nil"/>
                    <w:tr2bl w:val="nil"/>
                  </w:tcBorders>
                  <w:noWrap w:val="0"/>
                  <w:vAlign w:val="center"/>
                </w:tcPr>
                <w:p w14:paraId="2ED806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none"/>
                      <w:lang w:eastAsia="zh-CN"/>
                    </w:rPr>
                  </w:pPr>
                  <w:r>
                    <w:rPr>
                      <w:rFonts w:hint="eastAsia" w:cs="Times New Roman"/>
                      <w:color w:val="000000"/>
                      <w:spacing w:val="0"/>
                      <w:position w:val="0"/>
                      <w:sz w:val="18"/>
                      <w:szCs w:val="18"/>
                      <w:highlight w:val="none"/>
                      <w:lang w:val="en-US" w:eastAsia="zh-CN"/>
                    </w:rPr>
                    <w:t>无变化</w:t>
                  </w:r>
                </w:p>
              </w:tc>
            </w:tr>
            <w:tr w14:paraId="37AF05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9" w:type="dxa"/>
                  <w:vMerge w:val="continue"/>
                  <w:tcBorders>
                    <w:bottom w:val="single" w:color="auto" w:sz="12" w:space="0"/>
                    <w:tl2br w:val="nil"/>
                    <w:tr2bl w:val="nil"/>
                  </w:tcBorders>
                  <w:noWrap w:val="0"/>
                  <w:tcMar>
                    <w:top w:w="57" w:type="dxa"/>
                    <w:left w:w="28" w:type="dxa"/>
                    <w:bottom w:w="57" w:type="dxa"/>
                    <w:right w:w="28" w:type="dxa"/>
                  </w:tcMar>
                  <w:vAlign w:val="center"/>
                </w:tcPr>
                <w:p w14:paraId="675E27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sz w:val="18"/>
                      <w:szCs w:val="18"/>
                      <w:highlight w:val="yellow"/>
                    </w:rPr>
                  </w:pPr>
                </w:p>
              </w:tc>
              <w:tc>
                <w:tcPr>
                  <w:tcW w:w="906" w:type="dxa"/>
                  <w:gridSpan w:val="2"/>
                  <w:tcBorders>
                    <w:bottom w:val="single" w:color="auto" w:sz="12" w:space="0"/>
                    <w:tl2br w:val="nil"/>
                    <w:tr2bl w:val="nil"/>
                  </w:tcBorders>
                  <w:noWrap w:val="0"/>
                  <w:tcMar>
                    <w:top w:w="57" w:type="dxa"/>
                    <w:left w:w="28" w:type="dxa"/>
                    <w:bottom w:w="57" w:type="dxa"/>
                    <w:right w:w="28" w:type="dxa"/>
                  </w:tcMar>
                  <w:vAlign w:val="center"/>
                </w:tcPr>
                <w:p w14:paraId="0BCD700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eastAsia" w:ascii="Times New Roman" w:hAnsi="Times New Roman" w:eastAsia="宋体" w:cs="Times New Roman"/>
                      <w:sz w:val="18"/>
                      <w:szCs w:val="18"/>
                      <w:highlight w:val="yellow"/>
                      <w:lang w:eastAsia="zh-CN"/>
                    </w:rPr>
                  </w:pPr>
                  <w:r>
                    <w:rPr>
                      <w:rFonts w:hint="eastAsia" w:ascii="Times New Roman" w:hAnsi="Times New Roman" w:eastAsia="宋体" w:cs="Times New Roman"/>
                      <w:sz w:val="18"/>
                      <w:szCs w:val="18"/>
                      <w:highlight w:val="none"/>
                      <w:lang w:val="en-US" w:eastAsia="zh-CN"/>
                    </w:rPr>
                    <w:t>环境风险</w:t>
                  </w:r>
                </w:p>
              </w:tc>
              <w:tc>
                <w:tcPr>
                  <w:tcW w:w="3444" w:type="dxa"/>
                  <w:tcBorders>
                    <w:bottom w:val="single" w:color="auto" w:sz="12" w:space="0"/>
                    <w:tl2br w:val="nil"/>
                    <w:tr2bl w:val="nil"/>
                  </w:tcBorders>
                  <w:noWrap w:val="0"/>
                  <w:vAlign w:val="center"/>
                </w:tcPr>
                <w:p w14:paraId="01579A60">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b w:val="0"/>
                      <w:bCs w:val="0"/>
                      <w:color w:val="000000"/>
                      <w:sz w:val="18"/>
                      <w:szCs w:val="18"/>
                      <w:highlight w:val="yellow"/>
                    </w:rPr>
                  </w:pPr>
                  <w:r>
                    <w:rPr>
                      <w:rFonts w:hint="default" w:ascii="Times New Roman" w:hAnsi="Times New Roman" w:eastAsia="宋体" w:cs="Times New Roman"/>
                      <w:color w:val="000000"/>
                      <w:spacing w:val="0"/>
                      <w:sz w:val="18"/>
                      <w:szCs w:val="18"/>
                      <w:highlight w:val="none"/>
                      <w:lang w:eastAsia="zh-CN"/>
                    </w:rPr>
                    <w:t>危废暂存间设置为重点防渗，其他生产区域设置为一般防渗。</w:t>
                  </w:r>
                </w:p>
              </w:tc>
              <w:tc>
                <w:tcPr>
                  <w:tcW w:w="3205" w:type="dxa"/>
                  <w:tcBorders>
                    <w:bottom w:val="single" w:color="auto" w:sz="12" w:space="0"/>
                    <w:tl2br w:val="nil"/>
                    <w:tr2bl w:val="nil"/>
                  </w:tcBorders>
                  <w:noWrap w:val="0"/>
                  <w:vAlign w:val="center"/>
                </w:tcPr>
                <w:p w14:paraId="011E18FB">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firstLine="0" w:firstLineChars="0"/>
                    <w:contextualSpacing/>
                    <w:textAlignment w:val="auto"/>
                    <w:outlineLvl w:val="9"/>
                    <w:rPr>
                      <w:rFonts w:hint="default" w:ascii="Times New Roman" w:hAnsi="Times New Roman" w:eastAsia="宋体" w:cs="Times New Roman"/>
                      <w:sz w:val="18"/>
                      <w:szCs w:val="18"/>
                      <w:highlight w:val="yellow"/>
                      <w:lang w:eastAsia="zh-CN"/>
                    </w:rPr>
                  </w:pPr>
                  <w:r>
                    <w:rPr>
                      <w:rFonts w:hint="default" w:ascii="Times New Roman" w:hAnsi="Times New Roman" w:eastAsia="宋体" w:cs="Times New Roman"/>
                      <w:color w:val="000000"/>
                      <w:spacing w:val="0"/>
                      <w:sz w:val="18"/>
                      <w:szCs w:val="18"/>
                      <w:highlight w:val="none"/>
                      <w:lang w:eastAsia="zh-CN"/>
                    </w:rPr>
                    <w:t>危废暂存间设置为重点防渗，其他生产区域设置为一般防渗。</w:t>
                  </w:r>
                </w:p>
              </w:tc>
              <w:tc>
                <w:tcPr>
                  <w:tcW w:w="1125" w:type="dxa"/>
                  <w:tcBorders>
                    <w:bottom w:val="single" w:color="auto" w:sz="12" w:space="0"/>
                    <w:tl2br w:val="nil"/>
                    <w:tr2bl w:val="nil"/>
                  </w:tcBorders>
                  <w:noWrap w:val="0"/>
                  <w:vAlign w:val="center"/>
                </w:tcPr>
                <w:p w14:paraId="2C3EA1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000000"/>
                      <w:spacing w:val="0"/>
                      <w:position w:val="0"/>
                      <w:sz w:val="18"/>
                      <w:szCs w:val="18"/>
                      <w:highlight w:val="none"/>
                      <w:lang w:eastAsia="zh-CN"/>
                    </w:rPr>
                  </w:pPr>
                  <w:r>
                    <w:rPr>
                      <w:rFonts w:hint="eastAsia" w:cs="Times New Roman"/>
                      <w:color w:val="000000"/>
                      <w:spacing w:val="0"/>
                      <w:position w:val="0"/>
                      <w:sz w:val="18"/>
                      <w:szCs w:val="18"/>
                      <w:highlight w:val="none"/>
                      <w:lang w:val="en-US" w:eastAsia="zh-CN"/>
                    </w:rPr>
                    <w:t>无变化</w:t>
                  </w:r>
                </w:p>
              </w:tc>
            </w:tr>
          </w:tbl>
          <w:p w14:paraId="723223EB">
            <w:pPr>
              <w:pStyle w:val="23"/>
              <w:keepNext w:val="0"/>
              <w:keepLines w:val="0"/>
              <w:pageBreakBefore w:val="0"/>
              <w:widowControl w:val="0"/>
              <w:tabs>
                <w:tab w:val="left" w:pos="1273"/>
              </w:tabs>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sz w:val="24"/>
                <w:lang w:eastAsia="zh-CN"/>
              </w:rPr>
            </w:pPr>
            <w:r>
              <w:rPr>
                <w:rFonts w:hint="default" w:ascii="Times New Roman" w:hAnsi="Times New Roman" w:cs="Times New Roman"/>
                <w:b/>
                <w:sz w:val="24"/>
              </w:rPr>
              <w:t>（</w:t>
            </w:r>
            <w:r>
              <w:rPr>
                <w:rFonts w:hint="default" w:ascii="Times New Roman" w:hAnsi="Times New Roman" w:cs="Times New Roman"/>
                <w:b/>
                <w:sz w:val="24"/>
                <w:lang w:val="en-US" w:eastAsia="zh-CN"/>
              </w:rPr>
              <w:t>2</w:t>
            </w:r>
            <w:r>
              <w:rPr>
                <w:rFonts w:hint="default" w:ascii="Times New Roman" w:hAnsi="Times New Roman" w:cs="Times New Roman"/>
                <w:b/>
                <w:sz w:val="24"/>
              </w:rPr>
              <w:t>）</w:t>
            </w:r>
            <w:r>
              <w:rPr>
                <w:rFonts w:hint="default" w:ascii="Times New Roman" w:hAnsi="Times New Roman" w:cs="Times New Roman"/>
                <w:b/>
                <w:sz w:val="24"/>
                <w:lang w:val="en-US" w:eastAsia="zh-CN"/>
              </w:rPr>
              <w:t>主要设备</w:t>
            </w:r>
          </w:p>
          <w:p w14:paraId="1959DD47">
            <w:pPr>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项目主要设备情况见下表。</w:t>
            </w:r>
          </w:p>
          <w:p w14:paraId="6D5EF259">
            <w:pPr>
              <w:autoSpaceDE/>
              <w:autoSpaceDN/>
              <w:spacing w:before="156" w:beforeLines="50" w:line="240" w:lineRule="auto"/>
              <w:jc w:val="center"/>
              <w:rPr>
                <w:rFonts w:hint="default" w:ascii="Times New Roman" w:hAnsi="Times New Roman" w:eastAsia="宋体" w:cs="Times New Roman"/>
                <w:b/>
                <w:bCs/>
                <w:color w:val="auto"/>
                <w:kern w:val="2"/>
                <w:sz w:val="24"/>
                <w:lang w:val="en-US" w:bidi="ar-SA"/>
              </w:rPr>
            </w:pPr>
            <w:r>
              <w:rPr>
                <w:rFonts w:hint="default" w:ascii="Times New Roman" w:hAnsi="Times New Roman" w:eastAsia="宋体" w:cs="Times New Roman"/>
                <w:b/>
                <w:bCs/>
                <w:color w:val="auto"/>
                <w:kern w:val="2"/>
                <w:sz w:val="24"/>
                <w:lang w:val="en-US" w:bidi="ar-SA"/>
              </w:rPr>
              <w:t>表</w:t>
            </w:r>
            <w:r>
              <w:rPr>
                <w:rFonts w:hint="default" w:ascii="Times New Roman" w:hAnsi="Times New Roman" w:eastAsia="宋体" w:cs="Times New Roman"/>
                <w:b/>
                <w:bCs/>
                <w:color w:val="auto"/>
                <w:kern w:val="2"/>
                <w:sz w:val="24"/>
                <w:lang w:val="en-US" w:eastAsia="zh-CN" w:bidi="ar-SA"/>
              </w:rPr>
              <w:t>4-</w:t>
            </w:r>
            <w:r>
              <w:rPr>
                <w:rFonts w:hint="eastAsia" w:cs="Times New Roman"/>
                <w:b/>
                <w:bCs/>
                <w:color w:val="auto"/>
                <w:kern w:val="2"/>
                <w:sz w:val="24"/>
                <w:lang w:val="en-US" w:eastAsia="zh-CN" w:bidi="ar-SA"/>
              </w:rPr>
              <w:t>3</w:t>
            </w:r>
            <w:r>
              <w:rPr>
                <w:rFonts w:hint="default" w:ascii="Times New Roman" w:hAnsi="Times New Roman" w:eastAsia="宋体" w:cs="Times New Roman"/>
                <w:b/>
                <w:bCs/>
                <w:color w:val="auto"/>
                <w:kern w:val="2"/>
                <w:sz w:val="24"/>
                <w:lang w:val="en-US" w:eastAsia="zh-CN" w:bidi="ar-SA"/>
              </w:rPr>
              <w:t xml:space="preserve">  项目主要生产设备一览表</w:t>
            </w:r>
          </w:p>
          <w:tbl>
            <w:tblPr>
              <w:tblStyle w:val="17"/>
              <w:tblW w:w="4900" w:type="pct"/>
              <w:jc w:val="center"/>
              <w:tblBorders>
                <w:top w:val="single" w:color="000000" w:sz="4"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24"/>
              <w:gridCol w:w="1649"/>
              <w:gridCol w:w="1617"/>
              <w:gridCol w:w="1199"/>
              <w:gridCol w:w="728"/>
              <w:gridCol w:w="1072"/>
              <w:gridCol w:w="1045"/>
              <w:gridCol w:w="1071"/>
            </w:tblGrid>
            <w:tr w14:paraId="5119D6A2">
              <w:tblPrEx>
                <w:tblBorders>
                  <w:top w:val="single" w:color="000000" w:sz="4"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346" w:type="pct"/>
                  <w:tcBorders>
                    <w:top w:val="single" w:color="000000" w:sz="12" w:space="0"/>
                    <w:bottom w:val="single" w:color="000000" w:sz="12" w:space="0"/>
                  </w:tcBorders>
                  <w:noWrap w:val="0"/>
                  <w:tcMar>
                    <w:top w:w="12" w:type="dxa"/>
                    <w:left w:w="12" w:type="dxa"/>
                    <w:right w:w="12" w:type="dxa"/>
                  </w:tcMar>
                  <w:vAlign w:val="center"/>
                </w:tcPr>
                <w:p w14:paraId="7021EFAB">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i w:val="0"/>
                      <w:color w:val="000000"/>
                      <w:sz w:val="18"/>
                      <w:szCs w:val="18"/>
                      <w:highlight w:val="none"/>
                      <w:u w:val="none"/>
                    </w:rPr>
                  </w:pPr>
                  <w:r>
                    <w:rPr>
                      <w:rFonts w:hint="default" w:ascii="Times New Roman" w:hAnsi="Times New Roman" w:eastAsia="宋体" w:cs="Times New Roman"/>
                      <w:b/>
                      <w:bCs/>
                      <w:i w:val="0"/>
                      <w:color w:val="000000"/>
                      <w:kern w:val="0"/>
                      <w:sz w:val="18"/>
                      <w:szCs w:val="18"/>
                      <w:highlight w:val="none"/>
                      <w:u w:val="none"/>
                      <w:lang w:val="en-US" w:eastAsia="zh-CN" w:bidi="ar"/>
                    </w:rPr>
                    <w:t>序号</w:t>
                  </w:r>
                </w:p>
              </w:tc>
              <w:tc>
                <w:tcPr>
                  <w:tcW w:w="915" w:type="pct"/>
                  <w:tcBorders>
                    <w:top w:val="single" w:color="000000" w:sz="12" w:space="0"/>
                    <w:bottom w:val="single" w:color="000000" w:sz="12" w:space="0"/>
                  </w:tcBorders>
                  <w:noWrap w:val="0"/>
                  <w:tcMar>
                    <w:top w:w="12" w:type="dxa"/>
                    <w:left w:w="12" w:type="dxa"/>
                    <w:right w:w="12" w:type="dxa"/>
                  </w:tcMar>
                  <w:vAlign w:val="center"/>
                </w:tcPr>
                <w:p w14:paraId="54654D22">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i w:val="0"/>
                      <w:color w:val="000000"/>
                      <w:sz w:val="18"/>
                      <w:szCs w:val="18"/>
                      <w:highlight w:val="none"/>
                      <w:u w:val="none"/>
                    </w:rPr>
                  </w:pPr>
                  <w:r>
                    <w:rPr>
                      <w:rFonts w:hint="default" w:ascii="Times New Roman" w:hAnsi="Times New Roman" w:eastAsia="宋体" w:cs="Times New Roman"/>
                      <w:b/>
                      <w:bCs/>
                      <w:i w:val="0"/>
                      <w:color w:val="000000"/>
                      <w:kern w:val="0"/>
                      <w:sz w:val="18"/>
                      <w:szCs w:val="18"/>
                      <w:highlight w:val="none"/>
                      <w:u w:val="none"/>
                      <w:lang w:val="en-US" w:eastAsia="zh-CN" w:bidi="ar"/>
                    </w:rPr>
                    <w:t>设备名称</w:t>
                  </w:r>
                </w:p>
              </w:tc>
              <w:tc>
                <w:tcPr>
                  <w:tcW w:w="897" w:type="pct"/>
                  <w:tcBorders>
                    <w:top w:val="single" w:color="000000" w:sz="12" w:space="0"/>
                    <w:bottom w:val="single" w:color="000000" w:sz="12" w:space="0"/>
                  </w:tcBorders>
                  <w:noWrap w:val="0"/>
                  <w:tcMar>
                    <w:top w:w="12" w:type="dxa"/>
                    <w:left w:w="12" w:type="dxa"/>
                    <w:right w:w="12" w:type="dxa"/>
                  </w:tcMar>
                  <w:vAlign w:val="center"/>
                </w:tcPr>
                <w:p w14:paraId="20D25E7C">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000000"/>
                      <w:kern w:val="0"/>
                      <w:sz w:val="18"/>
                      <w:szCs w:val="18"/>
                      <w:highlight w:val="none"/>
                      <w:u w:val="none"/>
                      <w:lang w:val="en-US" w:eastAsia="zh-CN" w:bidi="ar"/>
                    </w:rPr>
                  </w:pPr>
                  <w:r>
                    <w:rPr>
                      <w:rFonts w:hint="default" w:ascii="Times New Roman" w:hAnsi="Times New Roman" w:cs="Times New Roman"/>
                      <w:b/>
                      <w:bCs/>
                      <w:color w:val="000000"/>
                      <w:kern w:val="0"/>
                      <w:sz w:val="18"/>
                      <w:szCs w:val="18"/>
                      <w:highlight w:val="none"/>
                      <w:lang w:bidi="ar"/>
                    </w:rPr>
                    <w:t>规格型号</w:t>
                  </w:r>
                </w:p>
              </w:tc>
              <w:tc>
                <w:tcPr>
                  <w:tcW w:w="665" w:type="pct"/>
                  <w:tcBorders>
                    <w:top w:val="single" w:color="000000" w:sz="12" w:space="0"/>
                    <w:bottom w:val="single" w:color="000000" w:sz="12" w:space="0"/>
                  </w:tcBorders>
                  <w:noWrap w:val="0"/>
                  <w:tcMar>
                    <w:top w:w="12" w:type="dxa"/>
                    <w:left w:w="12" w:type="dxa"/>
                    <w:right w:w="12" w:type="dxa"/>
                  </w:tcMar>
                  <w:vAlign w:val="center"/>
                </w:tcPr>
                <w:p w14:paraId="25750193">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000000"/>
                      <w:kern w:val="0"/>
                      <w:sz w:val="18"/>
                      <w:szCs w:val="18"/>
                      <w:highlight w:val="none"/>
                      <w:u w:val="none"/>
                      <w:lang w:val="en-US" w:eastAsia="zh-CN" w:bidi="ar"/>
                    </w:rPr>
                  </w:pPr>
                  <w:r>
                    <w:rPr>
                      <w:rFonts w:hint="eastAsia" w:cs="Times New Roman"/>
                      <w:b/>
                      <w:bCs/>
                      <w:i w:val="0"/>
                      <w:color w:val="000000"/>
                      <w:kern w:val="0"/>
                      <w:sz w:val="18"/>
                      <w:szCs w:val="18"/>
                      <w:highlight w:val="none"/>
                      <w:u w:val="none"/>
                      <w:lang w:val="en-US" w:eastAsia="zh-CN" w:bidi="ar"/>
                    </w:rPr>
                    <w:t>用途</w:t>
                  </w:r>
                </w:p>
              </w:tc>
              <w:tc>
                <w:tcPr>
                  <w:tcW w:w="404" w:type="pct"/>
                  <w:tcBorders>
                    <w:top w:val="single" w:color="000000" w:sz="12" w:space="0"/>
                    <w:bottom w:val="single" w:color="000000" w:sz="12" w:space="0"/>
                  </w:tcBorders>
                  <w:noWrap w:val="0"/>
                  <w:tcMar>
                    <w:top w:w="12" w:type="dxa"/>
                    <w:left w:w="12" w:type="dxa"/>
                    <w:right w:w="12" w:type="dxa"/>
                  </w:tcMar>
                  <w:vAlign w:val="center"/>
                </w:tcPr>
                <w:p w14:paraId="622C0D93">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i w:val="0"/>
                      <w:color w:val="000000"/>
                      <w:sz w:val="18"/>
                      <w:szCs w:val="18"/>
                      <w:highlight w:val="none"/>
                      <w:u w:val="none"/>
                    </w:rPr>
                  </w:pPr>
                  <w:r>
                    <w:rPr>
                      <w:rFonts w:hint="default" w:ascii="Times New Roman" w:hAnsi="Times New Roman" w:eastAsia="宋体" w:cs="Times New Roman"/>
                      <w:b/>
                      <w:bCs/>
                      <w:i w:val="0"/>
                      <w:color w:val="000000"/>
                      <w:kern w:val="0"/>
                      <w:sz w:val="18"/>
                      <w:szCs w:val="18"/>
                      <w:highlight w:val="none"/>
                      <w:u w:val="none"/>
                      <w:lang w:val="en-US" w:eastAsia="zh-CN" w:bidi="ar"/>
                    </w:rPr>
                    <w:t>单位</w:t>
                  </w:r>
                </w:p>
              </w:tc>
              <w:tc>
                <w:tcPr>
                  <w:tcW w:w="595" w:type="pct"/>
                  <w:tcBorders>
                    <w:top w:val="single" w:color="000000" w:sz="12" w:space="0"/>
                    <w:bottom w:val="single" w:color="000000" w:sz="12" w:space="0"/>
                  </w:tcBorders>
                  <w:noWrap w:val="0"/>
                  <w:tcMar>
                    <w:top w:w="12" w:type="dxa"/>
                    <w:left w:w="12" w:type="dxa"/>
                    <w:right w:w="12" w:type="dxa"/>
                  </w:tcMar>
                  <w:vAlign w:val="center"/>
                </w:tcPr>
                <w:p w14:paraId="79075484">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000000"/>
                      <w:kern w:val="0"/>
                      <w:sz w:val="18"/>
                      <w:szCs w:val="18"/>
                      <w:highlight w:val="none"/>
                      <w:u w:val="none"/>
                      <w:lang w:val="en-US" w:eastAsia="zh-CN" w:bidi="ar"/>
                    </w:rPr>
                  </w:pPr>
                  <w:r>
                    <w:rPr>
                      <w:rFonts w:hint="default" w:ascii="Times New Roman" w:hAnsi="Times New Roman" w:eastAsia="宋体" w:cs="Times New Roman"/>
                      <w:b/>
                      <w:bCs/>
                      <w:i w:val="0"/>
                      <w:color w:val="000000"/>
                      <w:kern w:val="0"/>
                      <w:sz w:val="18"/>
                      <w:szCs w:val="18"/>
                      <w:highlight w:val="none"/>
                      <w:u w:val="none"/>
                      <w:lang w:val="en-US" w:eastAsia="zh-CN" w:bidi="ar"/>
                    </w:rPr>
                    <w:t>环评数量</w:t>
                  </w:r>
                </w:p>
              </w:tc>
              <w:tc>
                <w:tcPr>
                  <w:tcW w:w="580" w:type="pct"/>
                  <w:tcBorders>
                    <w:top w:val="single" w:color="000000" w:sz="12" w:space="0"/>
                    <w:bottom w:val="single" w:color="000000" w:sz="12" w:space="0"/>
                  </w:tcBorders>
                  <w:noWrap w:val="0"/>
                  <w:tcMar>
                    <w:top w:w="12" w:type="dxa"/>
                    <w:left w:w="12" w:type="dxa"/>
                    <w:right w:w="12" w:type="dxa"/>
                  </w:tcMar>
                  <w:vAlign w:val="center"/>
                </w:tcPr>
                <w:p w14:paraId="75AAF5DE">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000000"/>
                      <w:kern w:val="0"/>
                      <w:sz w:val="18"/>
                      <w:szCs w:val="18"/>
                      <w:highlight w:val="none"/>
                      <w:u w:val="none"/>
                      <w:lang w:val="en-US" w:eastAsia="zh-CN" w:bidi="ar"/>
                    </w:rPr>
                  </w:pPr>
                  <w:r>
                    <w:rPr>
                      <w:rFonts w:hint="default" w:ascii="Times New Roman" w:hAnsi="Times New Roman" w:eastAsia="宋体" w:cs="Times New Roman"/>
                      <w:b/>
                      <w:bCs/>
                      <w:i w:val="0"/>
                      <w:color w:val="000000"/>
                      <w:kern w:val="0"/>
                      <w:sz w:val="18"/>
                      <w:szCs w:val="18"/>
                      <w:highlight w:val="none"/>
                      <w:u w:val="none"/>
                      <w:lang w:val="en-US" w:eastAsia="zh-CN" w:bidi="ar"/>
                    </w:rPr>
                    <w:t>实际数量</w:t>
                  </w:r>
                </w:p>
              </w:tc>
              <w:tc>
                <w:tcPr>
                  <w:tcW w:w="594" w:type="pct"/>
                  <w:tcBorders>
                    <w:top w:val="single" w:color="000000" w:sz="12" w:space="0"/>
                    <w:bottom w:val="single" w:color="000000" w:sz="12" w:space="0"/>
                  </w:tcBorders>
                  <w:noWrap w:val="0"/>
                  <w:tcMar>
                    <w:top w:w="12" w:type="dxa"/>
                    <w:left w:w="12" w:type="dxa"/>
                    <w:right w:w="12" w:type="dxa"/>
                  </w:tcMar>
                  <w:vAlign w:val="center"/>
                </w:tcPr>
                <w:p w14:paraId="6C345E1F">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000000"/>
                      <w:kern w:val="0"/>
                      <w:sz w:val="18"/>
                      <w:szCs w:val="18"/>
                      <w:highlight w:val="none"/>
                      <w:u w:val="none"/>
                      <w:lang w:val="en-US" w:eastAsia="zh-CN" w:bidi="ar"/>
                    </w:rPr>
                  </w:pPr>
                  <w:r>
                    <w:rPr>
                      <w:rFonts w:hint="default" w:ascii="Times New Roman" w:hAnsi="Times New Roman" w:eastAsia="宋体" w:cs="Times New Roman"/>
                      <w:b/>
                      <w:bCs/>
                      <w:i w:val="0"/>
                      <w:color w:val="000000"/>
                      <w:kern w:val="0"/>
                      <w:sz w:val="18"/>
                      <w:szCs w:val="18"/>
                      <w:highlight w:val="none"/>
                      <w:u w:val="none"/>
                      <w:lang w:val="en-US" w:eastAsia="zh-CN" w:bidi="ar"/>
                    </w:rPr>
                    <w:t>备注</w:t>
                  </w:r>
                </w:p>
              </w:tc>
            </w:tr>
            <w:tr w14:paraId="2C633863">
              <w:tblPrEx>
                <w:tblBorders>
                  <w:top w:val="single" w:color="000000" w:sz="4"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346" w:type="pct"/>
                  <w:tcBorders>
                    <w:top w:val="single" w:color="000000" w:sz="12" w:space="0"/>
                    <w:bottom w:val="single" w:color="000000" w:sz="4" w:space="0"/>
                  </w:tcBorders>
                  <w:noWrap w:val="0"/>
                  <w:tcMar>
                    <w:top w:w="12" w:type="dxa"/>
                    <w:left w:w="12" w:type="dxa"/>
                    <w:right w:w="12" w:type="dxa"/>
                  </w:tcMar>
                  <w:vAlign w:val="center"/>
                </w:tcPr>
                <w:p w14:paraId="0E06639B">
                  <w:pPr>
                    <w:keepNext w:val="0"/>
                    <w:keepLines w:val="0"/>
                    <w:pageBreakBefore w:val="0"/>
                    <w:widowControl w:val="0"/>
                    <w:numPr>
                      <w:ilvl w:val="-1"/>
                      <w:numId w:val="0"/>
                    </w:numPr>
                    <w:suppressLineNumbers w:val="0"/>
                    <w:shd w:val="clear"/>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cs="Times New Roman"/>
                      <w:b w:val="0"/>
                      <w:bCs w:val="0"/>
                      <w:i w:val="0"/>
                      <w:color w:val="000000"/>
                      <w:sz w:val="18"/>
                      <w:szCs w:val="18"/>
                      <w:highlight w:val="none"/>
                      <w:u w:val="none"/>
                    </w:rPr>
                  </w:pPr>
                  <w:r>
                    <w:rPr>
                      <w:rFonts w:hint="eastAsia" w:ascii="Times New Roman" w:hAnsi="Times New Roman" w:eastAsia="宋体" w:cs="Times New Roman"/>
                      <w:b w:val="0"/>
                      <w:bCs w:val="0"/>
                      <w:sz w:val="18"/>
                      <w:szCs w:val="18"/>
                      <w:highlight w:val="none"/>
                      <w:vertAlign w:val="baseline"/>
                      <w:lang w:val="en-US" w:eastAsia="zh-CN"/>
                    </w:rPr>
                    <w:t>1</w:t>
                  </w:r>
                </w:p>
              </w:tc>
              <w:tc>
                <w:tcPr>
                  <w:tcW w:w="915" w:type="pct"/>
                  <w:tcBorders>
                    <w:top w:val="single" w:color="000000" w:sz="12" w:space="0"/>
                    <w:bottom w:val="single" w:color="000000" w:sz="4" w:space="0"/>
                  </w:tcBorders>
                  <w:noWrap w:val="0"/>
                  <w:tcMar>
                    <w:top w:w="12" w:type="dxa"/>
                    <w:left w:w="12" w:type="dxa"/>
                    <w:right w:w="12" w:type="dxa"/>
                  </w:tcMar>
                  <w:vAlign w:val="center"/>
                </w:tcPr>
                <w:p w14:paraId="04BC4357">
                  <w:pPr>
                    <w:adjustRightInd/>
                    <w:snapToGrid w:val="0"/>
                    <w:spacing w:line="240" w:lineRule="auto"/>
                    <w:contextualSpacing/>
                    <w:jc w:val="center"/>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eastAsia" w:ascii="Times New Roman" w:hAnsi="Times New Roman" w:eastAsia="宋体" w:cs="Times New Roman"/>
                      <w:b w:val="0"/>
                      <w:bCs w:val="0"/>
                      <w:sz w:val="18"/>
                      <w:szCs w:val="18"/>
                      <w:highlight w:val="none"/>
                      <w:vertAlign w:val="baseline"/>
                      <w:lang w:val="en-US" w:eastAsia="zh-CN"/>
                    </w:rPr>
                    <w:t>圆盘锯</w:t>
                  </w:r>
                </w:p>
              </w:tc>
              <w:tc>
                <w:tcPr>
                  <w:tcW w:w="897" w:type="pct"/>
                  <w:tcBorders>
                    <w:top w:val="single" w:color="000000" w:sz="12" w:space="0"/>
                    <w:bottom w:val="single" w:color="000000" w:sz="4" w:space="0"/>
                  </w:tcBorders>
                  <w:noWrap w:val="0"/>
                  <w:tcMar>
                    <w:top w:w="12" w:type="dxa"/>
                    <w:left w:w="12" w:type="dxa"/>
                    <w:right w:w="12" w:type="dxa"/>
                  </w:tcMar>
                  <w:vAlign w:val="center"/>
                </w:tcPr>
                <w:p w14:paraId="5B16D966">
                  <w:pPr>
                    <w:adjustRightInd/>
                    <w:snapToGrid w:val="0"/>
                    <w:spacing w:line="240" w:lineRule="auto"/>
                    <w:contextualSpacing/>
                    <w:jc w:val="center"/>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default" w:ascii="Times New Roman" w:hAnsi="Times New Roman" w:eastAsia="宋体" w:cs="Times New Roman"/>
                      <w:b w:val="0"/>
                      <w:bCs w:val="0"/>
                      <w:sz w:val="18"/>
                      <w:szCs w:val="18"/>
                      <w:highlight w:val="none"/>
                      <w:vertAlign w:val="baseline"/>
                      <w:lang w:val="en-US" w:eastAsia="zh-CN"/>
                    </w:rPr>
                    <w:t>YZK-1500/2000</w:t>
                  </w:r>
                </w:p>
              </w:tc>
              <w:tc>
                <w:tcPr>
                  <w:tcW w:w="665" w:type="pct"/>
                  <w:tcBorders>
                    <w:top w:val="single" w:color="000000" w:sz="12" w:space="0"/>
                    <w:bottom w:val="single" w:color="000000" w:sz="4" w:space="0"/>
                  </w:tcBorders>
                  <w:noWrap w:val="0"/>
                  <w:tcMar>
                    <w:top w:w="12" w:type="dxa"/>
                    <w:left w:w="12" w:type="dxa"/>
                    <w:right w:w="12" w:type="dxa"/>
                  </w:tcMar>
                  <w:vAlign w:val="center"/>
                </w:tcPr>
                <w:p w14:paraId="7BAE208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cs="Times New Roman"/>
                      <w:kern w:val="0"/>
                      <w:sz w:val="18"/>
                      <w:szCs w:val="18"/>
                      <w:highlight w:val="none"/>
                    </w:rPr>
                  </w:pPr>
                  <w:r>
                    <w:rPr>
                      <w:rFonts w:hint="eastAsia" w:ascii="Times New Roman" w:hAnsi="Times New Roman" w:eastAsia="宋体" w:cs="Times New Roman"/>
                      <w:b w:val="0"/>
                      <w:bCs w:val="0"/>
                      <w:sz w:val="18"/>
                      <w:szCs w:val="18"/>
                      <w:highlight w:val="none"/>
                      <w:vertAlign w:val="baseline"/>
                      <w:lang w:val="en-US" w:eastAsia="zh-CN"/>
                    </w:rPr>
                    <w:t>荒料切割</w:t>
                  </w:r>
                </w:p>
              </w:tc>
              <w:tc>
                <w:tcPr>
                  <w:tcW w:w="404" w:type="pct"/>
                  <w:tcBorders>
                    <w:top w:val="single" w:color="000000" w:sz="12" w:space="0"/>
                    <w:bottom w:val="single" w:color="000000" w:sz="4" w:space="0"/>
                  </w:tcBorders>
                  <w:noWrap w:val="0"/>
                  <w:tcMar>
                    <w:top w:w="12" w:type="dxa"/>
                    <w:left w:w="12" w:type="dxa"/>
                    <w:right w:w="12" w:type="dxa"/>
                  </w:tcMar>
                  <w:vAlign w:val="center"/>
                </w:tcPr>
                <w:p w14:paraId="1199634C">
                  <w:pPr>
                    <w:adjustRightInd/>
                    <w:snapToGrid/>
                    <w:spacing w:line="240" w:lineRule="auto"/>
                    <w:jc w:val="center"/>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default" w:ascii="Times New Roman" w:hAnsi="Times New Roman" w:cs="Times New Roman"/>
                      <w:kern w:val="0"/>
                      <w:sz w:val="18"/>
                      <w:szCs w:val="18"/>
                      <w:highlight w:val="none"/>
                    </w:rPr>
                    <w:t>台</w:t>
                  </w:r>
                </w:p>
              </w:tc>
              <w:tc>
                <w:tcPr>
                  <w:tcW w:w="595" w:type="pct"/>
                  <w:tcBorders>
                    <w:top w:val="single" w:color="000000" w:sz="12" w:space="0"/>
                    <w:bottom w:val="single" w:color="000000" w:sz="4" w:space="0"/>
                  </w:tcBorders>
                  <w:noWrap w:val="0"/>
                  <w:tcMar>
                    <w:top w:w="12" w:type="dxa"/>
                    <w:left w:w="12" w:type="dxa"/>
                    <w:right w:w="12" w:type="dxa"/>
                  </w:tcMar>
                  <w:vAlign w:val="center"/>
                </w:tcPr>
                <w:p w14:paraId="1C35CD80">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eastAsia" w:ascii="Times New Roman" w:hAnsi="Times New Roman" w:eastAsia="宋体" w:cs="Times New Roman"/>
                      <w:color w:val="000000"/>
                      <w:sz w:val="18"/>
                      <w:szCs w:val="18"/>
                      <w:highlight w:val="none"/>
                      <w:lang w:val="en-US" w:eastAsia="zh-CN"/>
                    </w:rPr>
                    <w:t>8</w:t>
                  </w:r>
                  <w:r>
                    <w:rPr>
                      <w:rFonts w:hint="eastAsia" w:cs="Times New Roman"/>
                      <w:color w:val="000000"/>
                      <w:sz w:val="18"/>
                      <w:szCs w:val="18"/>
                      <w:highlight w:val="none"/>
                      <w:lang w:val="en-US" w:eastAsia="zh-CN"/>
                    </w:rPr>
                    <w:t>台</w:t>
                  </w:r>
                </w:p>
              </w:tc>
              <w:tc>
                <w:tcPr>
                  <w:tcW w:w="580" w:type="pct"/>
                  <w:tcBorders>
                    <w:top w:val="single" w:color="000000" w:sz="12" w:space="0"/>
                    <w:bottom w:val="single" w:color="000000" w:sz="4" w:space="0"/>
                  </w:tcBorders>
                  <w:noWrap w:val="0"/>
                  <w:tcMar>
                    <w:top w:w="12" w:type="dxa"/>
                    <w:left w:w="12" w:type="dxa"/>
                    <w:right w:w="12" w:type="dxa"/>
                  </w:tcMar>
                  <w:vAlign w:val="center"/>
                </w:tcPr>
                <w:p w14:paraId="1C88D819">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eastAsia" w:ascii="Times New Roman" w:hAnsi="Times New Roman" w:eastAsia="宋体" w:cs="Times New Roman"/>
                      <w:color w:val="000000"/>
                      <w:sz w:val="18"/>
                      <w:szCs w:val="18"/>
                      <w:highlight w:val="none"/>
                      <w:lang w:val="en-US" w:eastAsia="zh-CN"/>
                    </w:rPr>
                    <w:t>8</w:t>
                  </w:r>
                  <w:r>
                    <w:rPr>
                      <w:rFonts w:hint="eastAsia" w:cs="Times New Roman"/>
                      <w:color w:val="000000"/>
                      <w:sz w:val="18"/>
                      <w:szCs w:val="18"/>
                      <w:highlight w:val="none"/>
                      <w:lang w:val="en-US" w:eastAsia="zh-CN"/>
                    </w:rPr>
                    <w:t>台</w:t>
                  </w:r>
                </w:p>
              </w:tc>
              <w:tc>
                <w:tcPr>
                  <w:tcW w:w="594" w:type="pct"/>
                  <w:tcBorders>
                    <w:top w:val="single" w:color="000000" w:sz="12" w:space="0"/>
                    <w:bottom w:val="single" w:color="000000" w:sz="4" w:space="0"/>
                  </w:tcBorders>
                  <w:noWrap w:val="0"/>
                  <w:tcMar>
                    <w:top w:w="12" w:type="dxa"/>
                    <w:left w:w="12" w:type="dxa"/>
                    <w:right w:w="12" w:type="dxa"/>
                  </w:tcMar>
                  <w:vAlign w:val="center"/>
                </w:tcPr>
                <w:p w14:paraId="7552E53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i w:val="0"/>
                      <w:iCs w:val="0"/>
                      <w:color w:val="000000"/>
                      <w:sz w:val="18"/>
                      <w:szCs w:val="18"/>
                      <w:u w:val="none"/>
                      <w:lang w:val="en-US" w:eastAsia="zh-CN"/>
                    </w:rPr>
                    <w:t>无变化</w:t>
                  </w:r>
                </w:p>
              </w:tc>
            </w:tr>
            <w:tr w14:paraId="2244B593">
              <w:tblPrEx>
                <w:tblBorders>
                  <w:top w:val="single" w:color="000000" w:sz="4"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346" w:type="pct"/>
                  <w:tcBorders>
                    <w:top w:val="single" w:color="000000" w:sz="4" w:space="0"/>
                    <w:bottom w:val="single" w:color="000000" w:sz="4" w:space="0"/>
                  </w:tcBorders>
                  <w:noWrap w:val="0"/>
                  <w:tcMar>
                    <w:top w:w="12" w:type="dxa"/>
                    <w:left w:w="12" w:type="dxa"/>
                    <w:right w:w="12" w:type="dxa"/>
                  </w:tcMar>
                  <w:vAlign w:val="center"/>
                </w:tcPr>
                <w:p w14:paraId="198B2157">
                  <w:pPr>
                    <w:keepNext w:val="0"/>
                    <w:keepLines w:val="0"/>
                    <w:pageBreakBefore w:val="0"/>
                    <w:widowControl w:val="0"/>
                    <w:numPr>
                      <w:ilvl w:val="-1"/>
                      <w:numId w:val="0"/>
                    </w:numPr>
                    <w:suppressLineNumbers w:val="0"/>
                    <w:shd w:val="clear"/>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cs="Times New Roman"/>
                      <w:b w:val="0"/>
                      <w:bCs w:val="0"/>
                      <w:i w:val="0"/>
                      <w:color w:val="000000"/>
                      <w:sz w:val="18"/>
                      <w:szCs w:val="18"/>
                      <w:highlight w:val="none"/>
                      <w:u w:val="none"/>
                    </w:rPr>
                  </w:pPr>
                  <w:r>
                    <w:rPr>
                      <w:rFonts w:hint="eastAsia" w:ascii="Times New Roman" w:hAnsi="Times New Roman" w:eastAsia="宋体" w:cs="Times New Roman"/>
                      <w:b w:val="0"/>
                      <w:bCs w:val="0"/>
                      <w:sz w:val="18"/>
                      <w:szCs w:val="18"/>
                      <w:highlight w:val="none"/>
                      <w:vertAlign w:val="baseline"/>
                      <w:lang w:val="en-US" w:eastAsia="zh-CN"/>
                    </w:rPr>
                    <w:t>2</w:t>
                  </w:r>
                </w:p>
              </w:tc>
              <w:tc>
                <w:tcPr>
                  <w:tcW w:w="915" w:type="pct"/>
                  <w:tcBorders>
                    <w:top w:val="single" w:color="000000" w:sz="4" w:space="0"/>
                    <w:bottom w:val="single" w:color="000000" w:sz="4" w:space="0"/>
                  </w:tcBorders>
                  <w:noWrap w:val="0"/>
                  <w:tcMar>
                    <w:top w:w="12" w:type="dxa"/>
                    <w:left w:w="12" w:type="dxa"/>
                    <w:right w:w="12" w:type="dxa"/>
                  </w:tcMar>
                  <w:vAlign w:val="center"/>
                </w:tcPr>
                <w:p w14:paraId="7BB1C831">
                  <w:pPr>
                    <w:adjustRightInd/>
                    <w:snapToGrid w:val="0"/>
                    <w:spacing w:line="240" w:lineRule="auto"/>
                    <w:contextualSpacing/>
                    <w:jc w:val="center"/>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eastAsia" w:ascii="Times New Roman" w:hAnsi="Times New Roman" w:eastAsia="宋体" w:cs="Times New Roman"/>
                      <w:b w:val="0"/>
                      <w:bCs w:val="0"/>
                      <w:sz w:val="18"/>
                      <w:szCs w:val="18"/>
                      <w:highlight w:val="none"/>
                      <w:vertAlign w:val="baseline"/>
                      <w:lang w:val="en-US" w:eastAsia="zh-CN"/>
                    </w:rPr>
                    <w:t>装载机</w:t>
                  </w:r>
                </w:p>
              </w:tc>
              <w:tc>
                <w:tcPr>
                  <w:tcW w:w="897" w:type="pct"/>
                  <w:tcBorders>
                    <w:top w:val="single" w:color="000000" w:sz="4" w:space="0"/>
                    <w:bottom w:val="single" w:color="000000" w:sz="4" w:space="0"/>
                  </w:tcBorders>
                  <w:noWrap w:val="0"/>
                  <w:tcMar>
                    <w:top w:w="12" w:type="dxa"/>
                    <w:left w:w="12" w:type="dxa"/>
                    <w:right w:w="12" w:type="dxa"/>
                  </w:tcMar>
                  <w:vAlign w:val="center"/>
                </w:tcPr>
                <w:p w14:paraId="0FBA39EB">
                  <w:pPr>
                    <w:adjustRightInd/>
                    <w:snapToGrid w:val="0"/>
                    <w:spacing w:line="240" w:lineRule="auto"/>
                    <w:contextualSpacing/>
                    <w:jc w:val="center"/>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eastAsia" w:ascii="Times New Roman" w:hAnsi="Times New Roman" w:eastAsia="宋体" w:cs="Times New Roman"/>
                      <w:b w:val="0"/>
                      <w:bCs w:val="0"/>
                      <w:sz w:val="18"/>
                      <w:szCs w:val="18"/>
                      <w:highlight w:val="none"/>
                      <w:vertAlign w:val="baseline"/>
                      <w:lang w:val="en-US" w:eastAsia="zh-CN"/>
                    </w:rPr>
                    <w:t>叉斗容积</w:t>
                  </w:r>
                  <w:r>
                    <w:rPr>
                      <w:rFonts w:hint="default" w:ascii="Times New Roman" w:hAnsi="Times New Roman" w:eastAsia="宋体" w:cs="Times New Roman"/>
                      <w:b w:val="0"/>
                      <w:bCs w:val="0"/>
                      <w:sz w:val="18"/>
                      <w:szCs w:val="18"/>
                      <w:highlight w:val="none"/>
                      <w:vertAlign w:val="baseline"/>
                      <w:lang w:val="en-US" w:eastAsia="zh-CN"/>
                    </w:rPr>
                    <w:t>1.62m</w:t>
                  </w:r>
                  <w:r>
                    <w:rPr>
                      <w:rFonts w:hint="default" w:ascii="Times New Roman" w:hAnsi="Times New Roman" w:eastAsia="宋体" w:cs="Times New Roman"/>
                      <w:b w:val="0"/>
                      <w:bCs w:val="0"/>
                      <w:sz w:val="18"/>
                      <w:szCs w:val="18"/>
                      <w:highlight w:val="none"/>
                      <w:vertAlign w:val="superscript"/>
                      <w:lang w:val="en-US" w:eastAsia="zh-CN"/>
                    </w:rPr>
                    <w:t>3</w:t>
                  </w:r>
                </w:p>
              </w:tc>
              <w:tc>
                <w:tcPr>
                  <w:tcW w:w="665" w:type="pct"/>
                  <w:tcBorders>
                    <w:top w:val="single" w:color="000000" w:sz="4" w:space="0"/>
                    <w:bottom w:val="single" w:color="000000" w:sz="4" w:space="0"/>
                  </w:tcBorders>
                  <w:noWrap w:val="0"/>
                  <w:tcMar>
                    <w:top w:w="12" w:type="dxa"/>
                    <w:left w:w="12" w:type="dxa"/>
                    <w:right w:w="12" w:type="dxa"/>
                  </w:tcMar>
                  <w:vAlign w:val="center"/>
                </w:tcPr>
                <w:p w14:paraId="4087EB7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cs="Times New Roman"/>
                      <w:kern w:val="0"/>
                      <w:sz w:val="18"/>
                      <w:szCs w:val="18"/>
                      <w:highlight w:val="none"/>
                    </w:rPr>
                  </w:pPr>
                  <w:r>
                    <w:rPr>
                      <w:rFonts w:hint="eastAsia" w:ascii="Times New Roman" w:hAnsi="Times New Roman" w:eastAsia="宋体" w:cs="Times New Roman"/>
                      <w:b w:val="0"/>
                      <w:bCs w:val="0"/>
                      <w:sz w:val="18"/>
                      <w:szCs w:val="18"/>
                      <w:highlight w:val="none"/>
                      <w:vertAlign w:val="baseline"/>
                      <w:lang w:val="en-US" w:eastAsia="zh-CN"/>
                    </w:rPr>
                    <w:t>装载</w:t>
                  </w:r>
                </w:p>
              </w:tc>
              <w:tc>
                <w:tcPr>
                  <w:tcW w:w="404" w:type="pct"/>
                  <w:tcBorders>
                    <w:top w:val="single" w:color="000000" w:sz="4" w:space="0"/>
                    <w:bottom w:val="single" w:color="000000" w:sz="4" w:space="0"/>
                  </w:tcBorders>
                  <w:noWrap w:val="0"/>
                  <w:tcMar>
                    <w:top w:w="12" w:type="dxa"/>
                    <w:left w:w="12" w:type="dxa"/>
                    <w:right w:w="12" w:type="dxa"/>
                  </w:tcMar>
                  <w:vAlign w:val="center"/>
                </w:tcPr>
                <w:p w14:paraId="1D283964">
                  <w:pPr>
                    <w:adjustRightInd/>
                    <w:snapToGrid/>
                    <w:spacing w:line="240" w:lineRule="auto"/>
                    <w:jc w:val="center"/>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default" w:ascii="Times New Roman" w:hAnsi="Times New Roman" w:cs="Times New Roman"/>
                      <w:kern w:val="0"/>
                      <w:sz w:val="18"/>
                      <w:szCs w:val="18"/>
                      <w:highlight w:val="none"/>
                    </w:rPr>
                    <w:t>台</w:t>
                  </w:r>
                </w:p>
              </w:tc>
              <w:tc>
                <w:tcPr>
                  <w:tcW w:w="595" w:type="pct"/>
                  <w:tcBorders>
                    <w:top w:val="single" w:color="000000" w:sz="4" w:space="0"/>
                    <w:bottom w:val="single" w:color="000000" w:sz="4" w:space="0"/>
                  </w:tcBorders>
                  <w:noWrap w:val="0"/>
                  <w:tcMar>
                    <w:top w:w="12" w:type="dxa"/>
                    <w:left w:w="12" w:type="dxa"/>
                    <w:right w:w="12" w:type="dxa"/>
                  </w:tcMar>
                  <w:vAlign w:val="center"/>
                </w:tcPr>
                <w:p w14:paraId="1840F08C">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eastAsia" w:ascii="Times New Roman" w:hAnsi="Times New Roman" w:eastAsia="宋体" w:cs="Times New Roman"/>
                      <w:color w:val="000000"/>
                      <w:sz w:val="18"/>
                      <w:szCs w:val="18"/>
                      <w:highlight w:val="none"/>
                      <w:lang w:val="en-US" w:eastAsia="zh-CN"/>
                    </w:rPr>
                    <w:t>4</w:t>
                  </w:r>
                  <w:r>
                    <w:rPr>
                      <w:rFonts w:hint="eastAsia" w:cs="Times New Roman"/>
                      <w:color w:val="000000"/>
                      <w:sz w:val="18"/>
                      <w:szCs w:val="18"/>
                      <w:highlight w:val="none"/>
                      <w:lang w:val="en-US" w:eastAsia="zh-CN"/>
                    </w:rPr>
                    <w:t>台</w:t>
                  </w:r>
                </w:p>
              </w:tc>
              <w:tc>
                <w:tcPr>
                  <w:tcW w:w="580" w:type="pct"/>
                  <w:tcBorders>
                    <w:top w:val="single" w:color="000000" w:sz="4" w:space="0"/>
                    <w:bottom w:val="single" w:color="000000" w:sz="4" w:space="0"/>
                  </w:tcBorders>
                  <w:noWrap w:val="0"/>
                  <w:tcMar>
                    <w:top w:w="12" w:type="dxa"/>
                    <w:left w:w="12" w:type="dxa"/>
                    <w:right w:w="12" w:type="dxa"/>
                  </w:tcMar>
                  <w:vAlign w:val="center"/>
                </w:tcPr>
                <w:p w14:paraId="658A1673">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eastAsia" w:ascii="Times New Roman" w:hAnsi="Times New Roman" w:eastAsia="宋体" w:cs="Times New Roman"/>
                      <w:color w:val="000000"/>
                      <w:sz w:val="18"/>
                      <w:szCs w:val="18"/>
                      <w:highlight w:val="none"/>
                      <w:lang w:val="en-US" w:eastAsia="zh-CN"/>
                    </w:rPr>
                    <w:t>4</w:t>
                  </w:r>
                  <w:r>
                    <w:rPr>
                      <w:rFonts w:hint="eastAsia" w:cs="Times New Roman"/>
                      <w:color w:val="000000"/>
                      <w:sz w:val="18"/>
                      <w:szCs w:val="18"/>
                      <w:highlight w:val="none"/>
                      <w:lang w:val="en-US" w:eastAsia="zh-CN"/>
                    </w:rPr>
                    <w:t>台</w:t>
                  </w:r>
                </w:p>
              </w:tc>
              <w:tc>
                <w:tcPr>
                  <w:tcW w:w="594" w:type="pct"/>
                  <w:tcBorders>
                    <w:top w:val="single" w:color="000000" w:sz="4" w:space="0"/>
                    <w:bottom w:val="single" w:color="000000" w:sz="4" w:space="0"/>
                  </w:tcBorders>
                  <w:noWrap w:val="0"/>
                  <w:tcMar>
                    <w:top w:w="12" w:type="dxa"/>
                    <w:left w:w="12" w:type="dxa"/>
                    <w:right w:w="12" w:type="dxa"/>
                  </w:tcMar>
                  <w:vAlign w:val="center"/>
                </w:tcPr>
                <w:p w14:paraId="6D89F30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i w:val="0"/>
                      <w:iCs w:val="0"/>
                      <w:color w:val="000000"/>
                      <w:sz w:val="18"/>
                      <w:szCs w:val="18"/>
                      <w:u w:val="none"/>
                      <w:lang w:val="en-US" w:eastAsia="zh-CN"/>
                    </w:rPr>
                    <w:t>无变化</w:t>
                  </w:r>
                </w:p>
              </w:tc>
            </w:tr>
            <w:tr w14:paraId="5677D510">
              <w:tblPrEx>
                <w:tblBorders>
                  <w:top w:val="single" w:color="000000" w:sz="4"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346" w:type="pct"/>
                  <w:tcBorders>
                    <w:top w:val="single" w:color="000000" w:sz="4" w:space="0"/>
                    <w:bottom w:val="single" w:color="000000" w:sz="4" w:space="0"/>
                  </w:tcBorders>
                  <w:noWrap w:val="0"/>
                  <w:tcMar>
                    <w:top w:w="12" w:type="dxa"/>
                    <w:left w:w="12" w:type="dxa"/>
                    <w:right w:w="12" w:type="dxa"/>
                  </w:tcMar>
                  <w:vAlign w:val="center"/>
                </w:tcPr>
                <w:p w14:paraId="7FEE047C">
                  <w:pPr>
                    <w:keepNext w:val="0"/>
                    <w:keepLines w:val="0"/>
                    <w:pageBreakBefore w:val="0"/>
                    <w:widowControl w:val="0"/>
                    <w:numPr>
                      <w:ilvl w:val="-1"/>
                      <w:numId w:val="0"/>
                    </w:numPr>
                    <w:suppressLineNumbers w:val="0"/>
                    <w:shd w:val="clear"/>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cs="Times New Roman"/>
                      <w:b w:val="0"/>
                      <w:bCs w:val="0"/>
                      <w:i w:val="0"/>
                      <w:color w:val="000000"/>
                      <w:sz w:val="18"/>
                      <w:szCs w:val="18"/>
                      <w:highlight w:val="none"/>
                      <w:u w:val="none"/>
                    </w:rPr>
                  </w:pPr>
                  <w:r>
                    <w:rPr>
                      <w:rFonts w:hint="eastAsia" w:ascii="Times New Roman" w:hAnsi="Times New Roman" w:eastAsia="宋体" w:cs="Times New Roman"/>
                      <w:b w:val="0"/>
                      <w:bCs w:val="0"/>
                      <w:sz w:val="18"/>
                      <w:szCs w:val="18"/>
                      <w:highlight w:val="none"/>
                      <w:vertAlign w:val="baseline"/>
                      <w:lang w:val="en-US" w:eastAsia="zh-CN"/>
                    </w:rPr>
                    <w:t>3</w:t>
                  </w:r>
                </w:p>
              </w:tc>
              <w:tc>
                <w:tcPr>
                  <w:tcW w:w="915" w:type="pct"/>
                  <w:tcBorders>
                    <w:top w:val="single" w:color="000000" w:sz="4" w:space="0"/>
                    <w:bottom w:val="single" w:color="000000" w:sz="4" w:space="0"/>
                  </w:tcBorders>
                  <w:noWrap w:val="0"/>
                  <w:tcMar>
                    <w:top w:w="12" w:type="dxa"/>
                    <w:left w:w="12" w:type="dxa"/>
                    <w:right w:w="12" w:type="dxa"/>
                  </w:tcMar>
                  <w:vAlign w:val="center"/>
                </w:tcPr>
                <w:p w14:paraId="07238CBF">
                  <w:pPr>
                    <w:adjustRightInd/>
                    <w:snapToGrid w:val="0"/>
                    <w:spacing w:line="240" w:lineRule="auto"/>
                    <w:contextualSpacing/>
                    <w:jc w:val="center"/>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eastAsia" w:ascii="Times New Roman" w:hAnsi="Times New Roman" w:eastAsia="宋体" w:cs="Times New Roman"/>
                      <w:b w:val="0"/>
                      <w:bCs w:val="0"/>
                      <w:sz w:val="18"/>
                      <w:szCs w:val="18"/>
                      <w:highlight w:val="none"/>
                      <w:vertAlign w:val="baseline"/>
                      <w:lang w:val="en-US" w:eastAsia="zh-CN"/>
                    </w:rPr>
                    <w:t>平板</w:t>
                  </w:r>
                  <w:r>
                    <w:rPr>
                      <w:rFonts w:hint="eastAsia" w:cs="Times New Roman"/>
                      <w:b w:val="0"/>
                      <w:bCs w:val="0"/>
                      <w:sz w:val="18"/>
                      <w:szCs w:val="18"/>
                      <w:highlight w:val="none"/>
                      <w:vertAlign w:val="baseline"/>
                      <w:lang w:val="en-US" w:eastAsia="zh-CN"/>
                    </w:rPr>
                    <w:t>运矿</w:t>
                  </w:r>
                  <w:r>
                    <w:rPr>
                      <w:rFonts w:hint="eastAsia" w:ascii="Times New Roman" w:hAnsi="Times New Roman" w:eastAsia="宋体" w:cs="Times New Roman"/>
                      <w:b w:val="0"/>
                      <w:bCs w:val="0"/>
                      <w:sz w:val="18"/>
                      <w:szCs w:val="18"/>
                      <w:highlight w:val="none"/>
                      <w:vertAlign w:val="baseline"/>
                      <w:lang w:val="en-US" w:eastAsia="zh-CN"/>
                    </w:rPr>
                    <w:t>车</w:t>
                  </w:r>
                </w:p>
              </w:tc>
              <w:tc>
                <w:tcPr>
                  <w:tcW w:w="897" w:type="pct"/>
                  <w:tcBorders>
                    <w:top w:val="single" w:color="000000" w:sz="4" w:space="0"/>
                    <w:bottom w:val="single" w:color="000000" w:sz="4" w:space="0"/>
                  </w:tcBorders>
                  <w:noWrap w:val="0"/>
                  <w:tcMar>
                    <w:top w:w="12" w:type="dxa"/>
                    <w:left w:w="12" w:type="dxa"/>
                    <w:right w:w="12" w:type="dxa"/>
                  </w:tcMar>
                  <w:vAlign w:val="center"/>
                </w:tcPr>
                <w:p w14:paraId="7FC57349">
                  <w:pPr>
                    <w:adjustRightInd/>
                    <w:snapToGrid w:val="0"/>
                    <w:spacing w:line="240" w:lineRule="auto"/>
                    <w:contextualSpacing/>
                    <w:jc w:val="center"/>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eastAsia" w:ascii="Times New Roman" w:hAnsi="Times New Roman" w:eastAsia="宋体" w:cs="Times New Roman"/>
                      <w:b w:val="0"/>
                      <w:bCs w:val="0"/>
                      <w:sz w:val="18"/>
                      <w:szCs w:val="18"/>
                      <w:highlight w:val="none"/>
                      <w:vertAlign w:val="baseline"/>
                      <w:lang w:val="en-US" w:eastAsia="zh-CN"/>
                    </w:rPr>
                    <w:t>50吨</w:t>
                  </w:r>
                </w:p>
              </w:tc>
              <w:tc>
                <w:tcPr>
                  <w:tcW w:w="665" w:type="pct"/>
                  <w:tcBorders>
                    <w:top w:val="single" w:color="000000" w:sz="4" w:space="0"/>
                    <w:bottom w:val="single" w:color="000000" w:sz="4" w:space="0"/>
                  </w:tcBorders>
                  <w:noWrap w:val="0"/>
                  <w:tcMar>
                    <w:top w:w="12" w:type="dxa"/>
                    <w:left w:w="12" w:type="dxa"/>
                    <w:right w:w="12" w:type="dxa"/>
                  </w:tcMar>
                  <w:vAlign w:val="center"/>
                </w:tcPr>
                <w:p w14:paraId="6AD42EE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cs="Times New Roman"/>
                      <w:kern w:val="0"/>
                      <w:sz w:val="18"/>
                      <w:szCs w:val="18"/>
                      <w:highlight w:val="none"/>
                    </w:rPr>
                  </w:pPr>
                  <w:r>
                    <w:rPr>
                      <w:rFonts w:hint="eastAsia" w:ascii="Times New Roman" w:hAnsi="Times New Roman" w:eastAsia="宋体" w:cs="Times New Roman"/>
                      <w:b w:val="0"/>
                      <w:bCs w:val="0"/>
                      <w:sz w:val="18"/>
                      <w:szCs w:val="18"/>
                      <w:highlight w:val="none"/>
                      <w:vertAlign w:val="baseline"/>
                      <w:lang w:val="en-US" w:eastAsia="zh-CN"/>
                    </w:rPr>
                    <w:t>运输</w:t>
                  </w:r>
                </w:p>
              </w:tc>
              <w:tc>
                <w:tcPr>
                  <w:tcW w:w="404" w:type="pct"/>
                  <w:tcBorders>
                    <w:top w:val="single" w:color="000000" w:sz="4" w:space="0"/>
                    <w:bottom w:val="single" w:color="000000" w:sz="4" w:space="0"/>
                  </w:tcBorders>
                  <w:noWrap w:val="0"/>
                  <w:tcMar>
                    <w:top w:w="12" w:type="dxa"/>
                    <w:left w:w="12" w:type="dxa"/>
                    <w:right w:w="12" w:type="dxa"/>
                  </w:tcMar>
                  <w:vAlign w:val="center"/>
                </w:tcPr>
                <w:p w14:paraId="6CC94229">
                  <w:pPr>
                    <w:adjustRightInd/>
                    <w:snapToGrid/>
                    <w:spacing w:line="240" w:lineRule="auto"/>
                    <w:jc w:val="center"/>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default" w:ascii="Times New Roman" w:hAnsi="Times New Roman" w:cs="Times New Roman"/>
                      <w:kern w:val="0"/>
                      <w:sz w:val="18"/>
                      <w:szCs w:val="18"/>
                      <w:highlight w:val="none"/>
                    </w:rPr>
                    <w:t>台</w:t>
                  </w:r>
                </w:p>
              </w:tc>
              <w:tc>
                <w:tcPr>
                  <w:tcW w:w="595" w:type="pct"/>
                  <w:tcBorders>
                    <w:top w:val="single" w:color="000000" w:sz="4" w:space="0"/>
                    <w:bottom w:val="single" w:color="000000" w:sz="4" w:space="0"/>
                  </w:tcBorders>
                  <w:noWrap w:val="0"/>
                  <w:tcMar>
                    <w:top w:w="12" w:type="dxa"/>
                    <w:left w:w="12" w:type="dxa"/>
                    <w:right w:w="12" w:type="dxa"/>
                  </w:tcMar>
                  <w:vAlign w:val="center"/>
                </w:tcPr>
                <w:p w14:paraId="2340F1D1">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eastAsia" w:ascii="Times New Roman" w:hAnsi="Times New Roman" w:eastAsia="宋体" w:cs="Times New Roman"/>
                      <w:color w:val="000000"/>
                      <w:sz w:val="18"/>
                      <w:szCs w:val="18"/>
                      <w:highlight w:val="none"/>
                      <w:lang w:val="en-US" w:eastAsia="zh-CN"/>
                    </w:rPr>
                    <w:t>6</w:t>
                  </w:r>
                  <w:r>
                    <w:rPr>
                      <w:rFonts w:hint="eastAsia" w:cs="Times New Roman"/>
                      <w:color w:val="000000"/>
                      <w:sz w:val="18"/>
                      <w:szCs w:val="18"/>
                      <w:highlight w:val="none"/>
                      <w:lang w:val="en-US" w:eastAsia="zh-CN"/>
                    </w:rPr>
                    <w:t>台</w:t>
                  </w:r>
                </w:p>
              </w:tc>
              <w:tc>
                <w:tcPr>
                  <w:tcW w:w="580" w:type="pct"/>
                  <w:tcBorders>
                    <w:top w:val="single" w:color="000000" w:sz="4" w:space="0"/>
                    <w:bottom w:val="single" w:color="000000" w:sz="4" w:space="0"/>
                  </w:tcBorders>
                  <w:noWrap w:val="0"/>
                  <w:tcMar>
                    <w:top w:w="12" w:type="dxa"/>
                    <w:left w:w="12" w:type="dxa"/>
                    <w:right w:w="12" w:type="dxa"/>
                  </w:tcMar>
                  <w:vAlign w:val="center"/>
                </w:tcPr>
                <w:p w14:paraId="68A9A94F">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color w:val="FF0000"/>
                      <w:kern w:val="0"/>
                      <w:sz w:val="18"/>
                      <w:szCs w:val="18"/>
                      <w:highlight w:val="none"/>
                      <w:u w:val="none"/>
                      <w:lang w:val="en-US" w:eastAsia="zh-CN" w:bidi="ar"/>
                    </w:rPr>
                  </w:pPr>
                  <w:r>
                    <w:rPr>
                      <w:rFonts w:hint="eastAsia" w:ascii="Times New Roman" w:hAnsi="Times New Roman" w:eastAsia="宋体" w:cs="Times New Roman"/>
                      <w:color w:val="000000"/>
                      <w:sz w:val="18"/>
                      <w:szCs w:val="18"/>
                      <w:highlight w:val="none"/>
                      <w:lang w:val="en-US" w:eastAsia="zh-CN"/>
                    </w:rPr>
                    <w:t>6</w:t>
                  </w:r>
                  <w:r>
                    <w:rPr>
                      <w:rFonts w:hint="eastAsia" w:cs="Times New Roman"/>
                      <w:color w:val="000000"/>
                      <w:sz w:val="18"/>
                      <w:szCs w:val="18"/>
                      <w:highlight w:val="none"/>
                      <w:lang w:val="en-US" w:eastAsia="zh-CN"/>
                    </w:rPr>
                    <w:t>台</w:t>
                  </w:r>
                </w:p>
              </w:tc>
              <w:tc>
                <w:tcPr>
                  <w:tcW w:w="594" w:type="pct"/>
                  <w:tcBorders>
                    <w:top w:val="single" w:color="000000" w:sz="4" w:space="0"/>
                    <w:bottom w:val="single" w:color="000000" w:sz="4" w:space="0"/>
                  </w:tcBorders>
                  <w:noWrap w:val="0"/>
                  <w:tcMar>
                    <w:top w:w="12" w:type="dxa"/>
                    <w:left w:w="12" w:type="dxa"/>
                    <w:right w:w="12" w:type="dxa"/>
                  </w:tcMar>
                  <w:vAlign w:val="center"/>
                </w:tcPr>
                <w:p w14:paraId="37DE09B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i w:val="0"/>
                      <w:iCs w:val="0"/>
                      <w:color w:val="000000"/>
                      <w:sz w:val="18"/>
                      <w:szCs w:val="18"/>
                      <w:u w:val="none"/>
                      <w:lang w:val="en-US" w:eastAsia="zh-CN"/>
                    </w:rPr>
                    <w:t>无变化</w:t>
                  </w:r>
                </w:p>
              </w:tc>
            </w:tr>
            <w:tr w14:paraId="30C24CBD">
              <w:tblPrEx>
                <w:tblBorders>
                  <w:top w:val="single" w:color="000000" w:sz="4"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346" w:type="pct"/>
                  <w:tcBorders>
                    <w:tl2br w:val="nil"/>
                    <w:tr2bl w:val="nil"/>
                  </w:tcBorders>
                  <w:noWrap w:val="0"/>
                  <w:tcMar>
                    <w:top w:w="12" w:type="dxa"/>
                    <w:left w:w="12" w:type="dxa"/>
                    <w:right w:w="12" w:type="dxa"/>
                  </w:tcMar>
                  <w:vAlign w:val="center"/>
                </w:tcPr>
                <w:p w14:paraId="1A4698E3">
                  <w:pPr>
                    <w:keepNext w:val="0"/>
                    <w:keepLines w:val="0"/>
                    <w:pageBreakBefore w:val="0"/>
                    <w:widowControl w:val="0"/>
                    <w:numPr>
                      <w:ilvl w:val="-1"/>
                      <w:numId w:val="0"/>
                    </w:numPr>
                    <w:shd w:val="clear"/>
                    <w:kinsoku/>
                    <w:wordWrap/>
                    <w:overflowPunct/>
                    <w:topLinePunct w:val="0"/>
                    <w:autoSpaceDE/>
                    <w:autoSpaceDN/>
                    <w:bidi w:val="0"/>
                    <w:adjustRightInd/>
                    <w:snapToGrid w:val="0"/>
                    <w:spacing w:line="240" w:lineRule="auto"/>
                    <w:ind w:left="0" w:leftChars="0" w:firstLine="0" w:firstLineChars="0"/>
                    <w:contextualSpacing/>
                    <w:jc w:val="center"/>
                    <w:rPr>
                      <w:rFonts w:hint="default" w:ascii="Times New Roman" w:hAnsi="Times New Roman" w:cs="Times New Roman"/>
                      <w:b w:val="0"/>
                      <w:bCs w:val="0"/>
                      <w:i w:val="0"/>
                      <w:color w:val="000000"/>
                      <w:sz w:val="18"/>
                      <w:szCs w:val="18"/>
                      <w:highlight w:val="none"/>
                      <w:u w:val="none"/>
                    </w:rPr>
                  </w:pPr>
                  <w:r>
                    <w:rPr>
                      <w:rFonts w:hint="eastAsia" w:ascii="Times New Roman" w:hAnsi="Times New Roman" w:eastAsia="宋体" w:cs="Times New Roman"/>
                      <w:b w:val="0"/>
                      <w:bCs w:val="0"/>
                      <w:sz w:val="18"/>
                      <w:szCs w:val="18"/>
                      <w:highlight w:val="none"/>
                      <w:vertAlign w:val="baseline"/>
                      <w:lang w:val="en-US" w:eastAsia="zh-CN"/>
                    </w:rPr>
                    <w:t>4</w:t>
                  </w:r>
                </w:p>
              </w:tc>
              <w:tc>
                <w:tcPr>
                  <w:tcW w:w="915" w:type="pct"/>
                  <w:tcBorders>
                    <w:tl2br w:val="nil"/>
                    <w:tr2bl w:val="nil"/>
                  </w:tcBorders>
                  <w:noWrap w:val="0"/>
                  <w:tcMar>
                    <w:top w:w="12" w:type="dxa"/>
                    <w:left w:w="12" w:type="dxa"/>
                    <w:right w:w="12" w:type="dxa"/>
                  </w:tcMar>
                  <w:vAlign w:val="center"/>
                </w:tcPr>
                <w:p w14:paraId="04DB0182">
                  <w:pPr>
                    <w:adjustRightInd/>
                    <w:snapToGrid w:val="0"/>
                    <w:spacing w:line="240" w:lineRule="auto"/>
                    <w:contextualSpacing/>
                    <w:jc w:val="center"/>
                    <w:rPr>
                      <w:rFonts w:hint="default" w:ascii="Times New Roman" w:hAnsi="Times New Roman" w:cs="Times New Roman"/>
                      <w:snapToGrid w:val="0"/>
                      <w:color w:val="auto"/>
                      <w:kern w:val="0"/>
                      <w:sz w:val="18"/>
                      <w:szCs w:val="18"/>
                    </w:rPr>
                  </w:pPr>
                  <w:r>
                    <w:rPr>
                      <w:rFonts w:hint="eastAsia" w:ascii="Times New Roman" w:hAnsi="Times New Roman" w:eastAsia="宋体" w:cs="Times New Roman"/>
                      <w:b w:val="0"/>
                      <w:bCs w:val="0"/>
                      <w:sz w:val="18"/>
                      <w:szCs w:val="18"/>
                      <w:highlight w:val="none"/>
                      <w:vertAlign w:val="baseline"/>
                      <w:lang w:val="en-US" w:eastAsia="zh-CN"/>
                    </w:rPr>
                    <w:t>自卸汽车</w:t>
                  </w:r>
                </w:p>
              </w:tc>
              <w:tc>
                <w:tcPr>
                  <w:tcW w:w="897" w:type="pct"/>
                  <w:tcBorders>
                    <w:tl2br w:val="nil"/>
                    <w:tr2bl w:val="nil"/>
                  </w:tcBorders>
                  <w:noWrap w:val="0"/>
                  <w:tcMar>
                    <w:top w:w="12" w:type="dxa"/>
                    <w:left w:w="12" w:type="dxa"/>
                    <w:right w:w="12" w:type="dxa"/>
                  </w:tcMar>
                  <w:vAlign w:val="center"/>
                </w:tcPr>
                <w:p w14:paraId="0DB80C57">
                  <w:pPr>
                    <w:adjustRightInd/>
                    <w:snapToGrid w:val="0"/>
                    <w:spacing w:line="240" w:lineRule="auto"/>
                    <w:contextualSpacing/>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eastAsia="宋体" w:cs="Times New Roman"/>
                      <w:b w:val="0"/>
                      <w:bCs w:val="0"/>
                      <w:sz w:val="18"/>
                      <w:szCs w:val="18"/>
                      <w:highlight w:val="none"/>
                      <w:vertAlign w:val="baseline"/>
                      <w:lang w:val="en-US" w:eastAsia="zh-CN"/>
                    </w:rPr>
                    <w:t>50吨</w:t>
                  </w:r>
                </w:p>
              </w:tc>
              <w:tc>
                <w:tcPr>
                  <w:tcW w:w="665" w:type="pct"/>
                  <w:tcBorders>
                    <w:tl2br w:val="nil"/>
                    <w:tr2bl w:val="nil"/>
                  </w:tcBorders>
                  <w:noWrap w:val="0"/>
                  <w:tcMar>
                    <w:top w:w="12" w:type="dxa"/>
                    <w:left w:w="12" w:type="dxa"/>
                    <w:right w:w="12" w:type="dxa"/>
                  </w:tcMar>
                  <w:vAlign w:val="center"/>
                </w:tcPr>
                <w:p w14:paraId="73DF01E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cs="Times New Roman"/>
                      <w:color w:val="000000"/>
                      <w:kern w:val="0"/>
                      <w:sz w:val="18"/>
                      <w:szCs w:val="18"/>
                      <w:highlight w:val="none"/>
                      <w:lang w:bidi="ar"/>
                    </w:rPr>
                  </w:pPr>
                  <w:r>
                    <w:rPr>
                      <w:rFonts w:hint="eastAsia" w:ascii="Times New Roman" w:hAnsi="Times New Roman" w:eastAsia="宋体" w:cs="Times New Roman"/>
                      <w:b w:val="0"/>
                      <w:bCs w:val="0"/>
                      <w:sz w:val="18"/>
                      <w:szCs w:val="18"/>
                      <w:highlight w:val="none"/>
                      <w:vertAlign w:val="baseline"/>
                      <w:lang w:val="en-US" w:eastAsia="zh-CN"/>
                    </w:rPr>
                    <w:t>运输</w:t>
                  </w:r>
                </w:p>
              </w:tc>
              <w:tc>
                <w:tcPr>
                  <w:tcW w:w="404" w:type="pct"/>
                  <w:tcBorders>
                    <w:tl2br w:val="nil"/>
                    <w:tr2bl w:val="nil"/>
                  </w:tcBorders>
                  <w:noWrap w:val="0"/>
                  <w:tcMar>
                    <w:top w:w="12" w:type="dxa"/>
                    <w:left w:w="12" w:type="dxa"/>
                    <w:right w:w="12" w:type="dxa"/>
                  </w:tcMar>
                  <w:vAlign w:val="center"/>
                </w:tcPr>
                <w:p w14:paraId="3D870918">
                  <w:pPr>
                    <w:widowControl/>
                    <w:adjustRightInd/>
                    <w:snapToGrid/>
                    <w:spacing w:line="240" w:lineRule="auto"/>
                    <w:jc w:val="center"/>
                    <w:textAlignment w:val="center"/>
                    <w:rPr>
                      <w:rFonts w:hint="default" w:ascii="Times New Roman" w:hAnsi="Times New Roman" w:eastAsia="宋体" w:cs="Times New Roman"/>
                      <w:b w:val="0"/>
                      <w:bCs w:val="0"/>
                      <w:i w:val="0"/>
                      <w:color w:val="auto"/>
                      <w:kern w:val="0"/>
                      <w:sz w:val="18"/>
                      <w:szCs w:val="18"/>
                      <w:highlight w:val="none"/>
                      <w:u w:val="none"/>
                      <w:lang w:val="en-US" w:eastAsia="zh-CN" w:bidi="ar"/>
                    </w:rPr>
                  </w:pPr>
                  <w:r>
                    <w:rPr>
                      <w:rFonts w:hint="default" w:ascii="Times New Roman" w:hAnsi="Times New Roman" w:cs="Times New Roman"/>
                      <w:color w:val="000000"/>
                      <w:kern w:val="0"/>
                      <w:sz w:val="18"/>
                      <w:szCs w:val="18"/>
                      <w:highlight w:val="none"/>
                      <w:lang w:bidi="ar"/>
                    </w:rPr>
                    <w:t>台</w:t>
                  </w:r>
                </w:p>
              </w:tc>
              <w:tc>
                <w:tcPr>
                  <w:tcW w:w="595" w:type="pct"/>
                  <w:tcBorders>
                    <w:tl2br w:val="nil"/>
                    <w:tr2bl w:val="nil"/>
                  </w:tcBorders>
                  <w:noWrap w:val="0"/>
                  <w:tcMar>
                    <w:top w:w="12" w:type="dxa"/>
                    <w:left w:w="12" w:type="dxa"/>
                    <w:right w:w="12" w:type="dxa"/>
                  </w:tcMar>
                  <w:vAlign w:val="center"/>
                </w:tcPr>
                <w:p w14:paraId="08A525BA">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50</w:t>
                  </w:r>
                  <w:r>
                    <w:rPr>
                      <w:rFonts w:hint="eastAsia" w:cs="Times New Roman"/>
                      <w:color w:val="000000"/>
                      <w:sz w:val="18"/>
                      <w:szCs w:val="18"/>
                      <w:highlight w:val="none"/>
                      <w:lang w:val="en-US" w:eastAsia="zh-CN"/>
                    </w:rPr>
                    <w:t>台</w:t>
                  </w:r>
                </w:p>
              </w:tc>
              <w:tc>
                <w:tcPr>
                  <w:tcW w:w="580" w:type="pct"/>
                  <w:tcBorders>
                    <w:tl2br w:val="nil"/>
                    <w:tr2bl w:val="nil"/>
                  </w:tcBorders>
                  <w:noWrap w:val="0"/>
                  <w:tcMar>
                    <w:top w:w="12" w:type="dxa"/>
                    <w:left w:w="12" w:type="dxa"/>
                    <w:right w:w="12" w:type="dxa"/>
                  </w:tcMar>
                  <w:vAlign w:val="center"/>
                </w:tcPr>
                <w:p w14:paraId="30535794">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bidi="zh-CN"/>
                    </w:rPr>
                  </w:pPr>
                  <w:r>
                    <w:rPr>
                      <w:rFonts w:hint="eastAsia" w:ascii="Times New Roman" w:hAnsi="Times New Roman" w:eastAsia="宋体" w:cs="Times New Roman"/>
                      <w:color w:val="000000"/>
                      <w:sz w:val="18"/>
                      <w:szCs w:val="18"/>
                      <w:highlight w:val="none"/>
                      <w:lang w:val="en-US" w:eastAsia="zh-CN"/>
                    </w:rPr>
                    <w:t>50</w:t>
                  </w:r>
                  <w:r>
                    <w:rPr>
                      <w:rFonts w:hint="eastAsia" w:cs="Times New Roman"/>
                      <w:color w:val="000000"/>
                      <w:sz w:val="18"/>
                      <w:szCs w:val="18"/>
                      <w:highlight w:val="none"/>
                      <w:lang w:val="en-US" w:eastAsia="zh-CN"/>
                    </w:rPr>
                    <w:t>台</w:t>
                  </w:r>
                </w:p>
              </w:tc>
              <w:tc>
                <w:tcPr>
                  <w:tcW w:w="594" w:type="pct"/>
                  <w:tcBorders>
                    <w:tl2br w:val="nil"/>
                    <w:tr2bl w:val="nil"/>
                  </w:tcBorders>
                  <w:noWrap w:val="0"/>
                  <w:tcMar>
                    <w:top w:w="12" w:type="dxa"/>
                    <w:left w:w="12" w:type="dxa"/>
                    <w:right w:w="12" w:type="dxa"/>
                  </w:tcMar>
                  <w:vAlign w:val="center"/>
                </w:tcPr>
                <w:p w14:paraId="4ADDB361">
                  <w:pPr>
                    <w:keepNext w:val="0"/>
                    <w:keepLines w:val="0"/>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snapToGrid w:val="0"/>
                      <w:color w:val="auto"/>
                      <w:kern w:val="0"/>
                      <w:sz w:val="18"/>
                      <w:szCs w:val="18"/>
                      <w:lang w:val="en-US"/>
                    </w:rPr>
                  </w:pPr>
                  <w:r>
                    <w:rPr>
                      <w:rFonts w:hint="default" w:ascii="Times New Roman" w:hAnsi="Times New Roman" w:cs="Times New Roman"/>
                      <w:i w:val="0"/>
                      <w:iCs w:val="0"/>
                      <w:color w:val="auto"/>
                      <w:sz w:val="18"/>
                      <w:szCs w:val="18"/>
                      <w:u w:val="none"/>
                      <w:lang w:val="en-US" w:eastAsia="zh-CN"/>
                    </w:rPr>
                    <w:t>无变化</w:t>
                  </w:r>
                </w:p>
              </w:tc>
            </w:tr>
          </w:tbl>
          <w:p w14:paraId="23E0FCB8">
            <w:pPr>
              <w:pStyle w:val="23"/>
              <w:keepNext w:val="0"/>
              <w:keepLines w:val="0"/>
              <w:pageBreakBefore w:val="0"/>
              <w:widowControl w:val="0"/>
              <w:tabs>
                <w:tab w:val="left" w:pos="1273"/>
              </w:tabs>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lang w:eastAsia="zh-CN"/>
              </w:rPr>
            </w:pPr>
            <w:r>
              <w:rPr>
                <w:rFonts w:hint="default" w:ascii="Times New Roman" w:hAnsi="Times New Roman" w:cs="Times New Roman"/>
                <w:b/>
                <w:color w:val="auto"/>
                <w:sz w:val="24"/>
              </w:rPr>
              <w:t>（</w:t>
            </w:r>
            <w:r>
              <w:rPr>
                <w:rFonts w:hint="default" w:ascii="Times New Roman" w:hAnsi="Times New Roman" w:cs="Times New Roman"/>
                <w:b/>
                <w:color w:val="auto"/>
                <w:sz w:val="24"/>
                <w:lang w:val="en-US" w:eastAsia="zh-CN"/>
              </w:rPr>
              <w:t>3</w:t>
            </w:r>
            <w:r>
              <w:rPr>
                <w:rFonts w:hint="default" w:ascii="Times New Roman" w:hAnsi="Times New Roman" w:cs="Times New Roman"/>
                <w:b/>
                <w:color w:val="auto"/>
                <w:sz w:val="24"/>
              </w:rPr>
              <w:t>）</w:t>
            </w:r>
            <w:r>
              <w:rPr>
                <w:rFonts w:hint="default" w:ascii="Times New Roman" w:hAnsi="Times New Roman" w:cs="Times New Roman"/>
                <w:b/>
                <w:color w:val="auto"/>
                <w:sz w:val="24"/>
                <w:lang w:val="en-US" w:eastAsia="zh-CN"/>
              </w:rPr>
              <w:t>主要原辅材料</w:t>
            </w:r>
          </w:p>
          <w:p w14:paraId="641D9756">
            <w:pPr>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项目主要原辅材料消耗情况见下表。</w:t>
            </w:r>
          </w:p>
          <w:p w14:paraId="144977B6">
            <w:pPr>
              <w:autoSpaceDE/>
              <w:autoSpaceDN/>
              <w:spacing w:before="156" w:beforeLines="50" w:line="240" w:lineRule="auto"/>
              <w:jc w:val="center"/>
              <w:rPr>
                <w:rFonts w:hint="default" w:ascii="Times New Roman" w:hAnsi="Times New Roman" w:eastAsia="宋体" w:cs="Times New Roman"/>
                <w:b/>
                <w:bCs/>
                <w:color w:val="auto"/>
                <w:kern w:val="2"/>
                <w:sz w:val="24"/>
                <w:lang w:val="en-US" w:bidi="ar-SA"/>
              </w:rPr>
            </w:pPr>
            <w:r>
              <w:rPr>
                <w:rFonts w:hint="default" w:ascii="Times New Roman" w:hAnsi="Times New Roman" w:eastAsia="宋体" w:cs="Times New Roman"/>
                <w:b/>
                <w:bCs/>
                <w:color w:val="auto"/>
                <w:kern w:val="2"/>
                <w:sz w:val="24"/>
                <w:lang w:val="en-US" w:bidi="ar-SA"/>
              </w:rPr>
              <w:t>表</w:t>
            </w:r>
            <w:r>
              <w:rPr>
                <w:rFonts w:hint="default" w:ascii="Times New Roman" w:hAnsi="Times New Roman" w:eastAsia="宋体" w:cs="Times New Roman"/>
                <w:b/>
                <w:bCs/>
                <w:color w:val="auto"/>
                <w:kern w:val="2"/>
                <w:sz w:val="24"/>
                <w:lang w:val="en-US" w:eastAsia="zh-CN" w:bidi="ar-SA"/>
              </w:rPr>
              <w:t>4-</w:t>
            </w:r>
            <w:r>
              <w:rPr>
                <w:rFonts w:hint="eastAsia" w:cs="Times New Roman"/>
                <w:b/>
                <w:bCs/>
                <w:color w:val="auto"/>
                <w:kern w:val="2"/>
                <w:sz w:val="24"/>
                <w:lang w:val="en-US" w:eastAsia="zh-CN" w:bidi="ar-SA"/>
              </w:rPr>
              <w:t>4</w:t>
            </w:r>
            <w:r>
              <w:rPr>
                <w:rFonts w:hint="default" w:ascii="Times New Roman" w:hAnsi="Times New Roman" w:eastAsia="宋体" w:cs="Times New Roman"/>
                <w:b/>
                <w:bCs/>
                <w:color w:val="auto"/>
                <w:kern w:val="2"/>
                <w:sz w:val="24"/>
                <w:lang w:val="en-US" w:eastAsia="zh-CN" w:bidi="ar-SA"/>
              </w:rPr>
              <w:t xml:space="preserve">  项目主要原辅材料一览表</w:t>
            </w:r>
          </w:p>
          <w:tbl>
            <w:tblPr>
              <w:tblStyle w:val="17"/>
              <w:tblW w:w="483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129"/>
              <w:gridCol w:w="1570"/>
              <w:gridCol w:w="1385"/>
              <w:gridCol w:w="4162"/>
            </w:tblGrid>
            <w:tr w14:paraId="065FD4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0" w:type="pct"/>
                  <w:tcBorders>
                    <w:top w:val="single" w:color="auto" w:sz="12" w:space="0"/>
                    <w:bottom w:val="single" w:color="auto" w:sz="12" w:space="0"/>
                  </w:tcBorders>
                  <w:noWrap w:val="0"/>
                  <w:vAlign w:val="center"/>
                </w:tcPr>
                <w:p w14:paraId="63CC84AB">
                  <w:pPr>
                    <w:shd w:val="clear" w:color="auto" w:fill="auto"/>
                    <w:spacing w:line="240" w:lineRule="auto"/>
                    <w:contextualSpacing/>
                    <w:jc w:val="center"/>
                    <w:rPr>
                      <w:rFonts w:hint="default" w:ascii="Times New Roman" w:hAnsi="Times New Roman" w:eastAsia="宋体" w:cs="Times New Roman"/>
                      <w:b/>
                      <w:bCs/>
                      <w:kern w:val="28"/>
                      <w:sz w:val="18"/>
                      <w:szCs w:val="18"/>
                      <w:highlight w:val="none"/>
                    </w:rPr>
                  </w:pPr>
                  <w:r>
                    <w:rPr>
                      <w:rFonts w:hint="default" w:ascii="Times New Roman" w:hAnsi="Times New Roman" w:eastAsia="宋体" w:cs="Times New Roman"/>
                      <w:b/>
                      <w:bCs/>
                      <w:kern w:val="28"/>
                      <w:sz w:val="18"/>
                      <w:szCs w:val="18"/>
                      <w:highlight w:val="none"/>
                    </w:rPr>
                    <w:t>序号</w:t>
                  </w:r>
                </w:p>
              </w:tc>
              <w:tc>
                <w:tcPr>
                  <w:tcW w:w="635" w:type="pct"/>
                  <w:tcBorders>
                    <w:top w:val="single" w:color="auto" w:sz="12" w:space="0"/>
                    <w:bottom w:val="single" w:color="auto" w:sz="12" w:space="0"/>
                  </w:tcBorders>
                  <w:noWrap w:val="0"/>
                  <w:vAlign w:val="center"/>
                </w:tcPr>
                <w:p w14:paraId="16A88607">
                  <w:pPr>
                    <w:shd w:val="clear" w:color="auto" w:fill="auto"/>
                    <w:spacing w:line="240" w:lineRule="auto"/>
                    <w:contextualSpacing/>
                    <w:jc w:val="center"/>
                    <w:rPr>
                      <w:rFonts w:hint="default" w:ascii="Times New Roman" w:hAnsi="Times New Roman" w:eastAsia="宋体" w:cs="Times New Roman"/>
                      <w:b/>
                      <w:bCs/>
                      <w:kern w:val="28"/>
                      <w:sz w:val="18"/>
                      <w:szCs w:val="18"/>
                      <w:highlight w:val="none"/>
                    </w:rPr>
                  </w:pPr>
                  <w:r>
                    <w:rPr>
                      <w:rFonts w:hint="default" w:ascii="Times New Roman" w:hAnsi="Times New Roman" w:eastAsia="宋体" w:cs="Times New Roman"/>
                      <w:b/>
                      <w:bCs/>
                      <w:kern w:val="28"/>
                      <w:sz w:val="18"/>
                      <w:szCs w:val="18"/>
                      <w:highlight w:val="none"/>
                    </w:rPr>
                    <w:t>名称</w:t>
                  </w:r>
                </w:p>
              </w:tc>
              <w:tc>
                <w:tcPr>
                  <w:tcW w:w="883" w:type="pct"/>
                  <w:tcBorders>
                    <w:top w:val="single" w:color="auto" w:sz="12" w:space="0"/>
                    <w:bottom w:val="single" w:color="auto" w:sz="12" w:space="0"/>
                  </w:tcBorders>
                  <w:noWrap w:val="0"/>
                  <w:vAlign w:val="center"/>
                </w:tcPr>
                <w:p w14:paraId="502D602E">
                  <w:pPr>
                    <w:shd w:val="clear" w:color="auto" w:fill="auto"/>
                    <w:spacing w:line="240" w:lineRule="auto"/>
                    <w:contextualSpacing/>
                    <w:jc w:val="center"/>
                    <w:rPr>
                      <w:rFonts w:hint="default" w:ascii="Times New Roman" w:hAnsi="Times New Roman" w:eastAsia="宋体" w:cs="Times New Roman"/>
                      <w:b/>
                      <w:bCs/>
                      <w:kern w:val="28"/>
                      <w:sz w:val="18"/>
                      <w:szCs w:val="18"/>
                      <w:highlight w:val="none"/>
                    </w:rPr>
                  </w:pPr>
                  <w:r>
                    <w:rPr>
                      <w:rFonts w:hint="default" w:ascii="Times New Roman" w:hAnsi="Times New Roman" w:eastAsia="宋体" w:cs="Times New Roman"/>
                      <w:b/>
                      <w:bCs/>
                      <w:kern w:val="28"/>
                      <w:sz w:val="18"/>
                      <w:szCs w:val="18"/>
                      <w:highlight w:val="none"/>
                      <w:lang w:val="en-US" w:eastAsia="zh-CN"/>
                    </w:rPr>
                    <w:t>环评</w:t>
                  </w:r>
                  <w:r>
                    <w:rPr>
                      <w:rFonts w:hint="default" w:ascii="Times New Roman" w:hAnsi="Times New Roman" w:eastAsia="宋体" w:cs="Times New Roman"/>
                      <w:b/>
                      <w:bCs/>
                      <w:kern w:val="28"/>
                      <w:sz w:val="18"/>
                      <w:szCs w:val="18"/>
                      <w:highlight w:val="none"/>
                    </w:rPr>
                    <w:t>年用量</w:t>
                  </w:r>
                </w:p>
              </w:tc>
              <w:tc>
                <w:tcPr>
                  <w:tcW w:w="779" w:type="pct"/>
                  <w:tcBorders>
                    <w:top w:val="single" w:color="auto" w:sz="12" w:space="0"/>
                    <w:bottom w:val="single" w:color="auto" w:sz="12" w:space="0"/>
                  </w:tcBorders>
                  <w:noWrap w:val="0"/>
                  <w:vAlign w:val="center"/>
                </w:tcPr>
                <w:p w14:paraId="61528900">
                  <w:pPr>
                    <w:shd w:val="clear" w:color="auto" w:fill="auto"/>
                    <w:spacing w:line="240" w:lineRule="auto"/>
                    <w:contextualSpacing/>
                    <w:jc w:val="center"/>
                    <w:rPr>
                      <w:rFonts w:hint="default" w:ascii="Times New Roman" w:hAnsi="Times New Roman" w:eastAsia="宋体" w:cs="Times New Roman"/>
                      <w:b/>
                      <w:bCs/>
                      <w:kern w:val="28"/>
                      <w:sz w:val="18"/>
                      <w:szCs w:val="18"/>
                      <w:highlight w:val="none"/>
                      <w:lang w:val="en-US" w:eastAsia="zh-CN"/>
                    </w:rPr>
                  </w:pPr>
                  <w:r>
                    <w:rPr>
                      <w:rFonts w:hint="default" w:ascii="Times New Roman" w:hAnsi="Times New Roman" w:eastAsia="宋体" w:cs="Times New Roman"/>
                      <w:b/>
                      <w:bCs/>
                      <w:kern w:val="28"/>
                      <w:sz w:val="18"/>
                      <w:szCs w:val="18"/>
                      <w:highlight w:val="none"/>
                      <w:lang w:val="en-US" w:eastAsia="zh-CN"/>
                    </w:rPr>
                    <w:t>实际年用量</w:t>
                  </w:r>
                </w:p>
              </w:tc>
              <w:tc>
                <w:tcPr>
                  <w:tcW w:w="2341" w:type="pct"/>
                  <w:tcBorders>
                    <w:top w:val="single" w:color="auto" w:sz="12" w:space="0"/>
                    <w:bottom w:val="single" w:color="auto" w:sz="12" w:space="0"/>
                  </w:tcBorders>
                  <w:noWrap w:val="0"/>
                  <w:vAlign w:val="center"/>
                </w:tcPr>
                <w:p w14:paraId="04C62E2D">
                  <w:pPr>
                    <w:shd w:val="clear" w:color="auto" w:fill="auto"/>
                    <w:spacing w:line="240" w:lineRule="auto"/>
                    <w:contextualSpacing/>
                    <w:jc w:val="center"/>
                    <w:rPr>
                      <w:rFonts w:hint="eastAsia" w:ascii="Times New Roman" w:hAnsi="Times New Roman" w:eastAsia="宋体" w:cs="Times New Roman"/>
                      <w:b/>
                      <w:bCs/>
                      <w:kern w:val="28"/>
                      <w:sz w:val="18"/>
                      <w:szCs w:val="18"/>
                      <w:highlight w:val="none"/>
                      <w:lang w:eastAsia="zh-CN"/>
                    </w:rPr>
                  </w:pPr>
                  <w:r>
                    <w:rPr>
                      <w:rFonts w:hint="eastAsia" w:cs="Times New Roman"/>
                      <w:b/>
                      <w:bCs/>
                      <w:kern w:val="28"/>
                      <w:sz w:val="18"/>
                      <w:szCs w:val="18"/>
                      <w:highlight w:val="none"/>
                      <w:lang w:val="en-US" w:eastAsia="zh-CN"/>
                    </w:rPr>
                    <w:t>备注</w:t>
                  </w:r>
                </w:p>
              </w:tc>
            </w:tr>
            <w:tr w14:paraId="1BB390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0" w:type="pct"/>
                  <w:tcBorders>
                    <w:top w:val="single" w:color="auto" w:sz="12" w:space="0"/>
                    <w:bottom w:val="single" w:color="auto" w:sz="4" w:space="0"/>
                  </w:tcBorders>
                  <w:noWrap w:val="0"/>
                  <w:vAlign w:val="center"/>
                </w:tcPr>
                <w:p w14:paraId="44EAD0A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kern w:val="28"/>
                      <w:sz w:val="18"/>
                      <w:szCs w:val="18"/>
                      <w:highlight w:val="none"/>
                    </w:rPr>
                  </w:pPr>
                  <w:r>
                    <w:rPr>
                      <w:rFonts w:hint="eastAsia" w:ascii="Times New Roman" w:hAnsi="Times New Roman" w:eastAsia="宋体" w:cs="Times New Roman"/>
                      <w:b w:val="0"/>
                      <w:bCs w:val="0"/>
                      <w:sz w:val="18"/>
                      <w:szCs w:val="18"/>
                      <w:highlight w:val="none"/>
                      <w:vertAlign w:val="baseline"/>
                      <w:lang w:val="en-US" w:eastAsia="zh-CN"/>
                    </w:rPr>
                    <w:t>1</w:t>
                  </w:r>
                </w:p>
              </w:tc>
              <w:tc>
                <w:tcPr>
                  <w:tcW w:w="635" w:type="pct"/>
                  <w:tcBorders>
                    <w:top w:val="single" w:color="auto" w:sz="12" w:space="0"/>
                    <w:bottom w:val="single" w:color="auto" w:sz="4" w:space="0"/>
                  </w:tcBorders>
                  <w:noWrap w:val="0"/>
                  <w:vAlign w:val="center"/>
                </w:tcPr>
                <w:p w14:paraId="5816C10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kern w:val="28"/>
                      <w:sz w:val="18"/>
                      <w:szCs w:val="18"/>
                      <w:highlight w:val="none"/>
                      <w:lang w:eastAsia="zh-CN"/>
                    </w:rPr>
                  </w:pPr>
                  <w:r>
                    <w:rPr>
                      <w:rFonts w:hint="eastAsia" w:ascii="Times New Roman" w:hAnsi="Times New Roman" w:eastAsia="宋体" w:cs="Times New Roman"/>
                      <w:b w:val="0"/>
                      <w:bCs w:val="0"/>
                      <w:sz w:val="18"/>
                      <w:szCs w:val="18"/>
                      <w:highlight w:val="none"/>
                      <w:vertAlign w:val="baseline"/>
                      <w:lang w:val="en-US" w:eastAsia="zh-CN"/>
                    </w:rPr>
                    <w:t>生产用水</w:t>
                  </w:r>
                </w:p>
              </w:tc>
              <w:tc>
                <w:tcPr>
                  <w:tcW w:w="1650" w:type="dxa"/>
                  <w:tcBorders>
                    <w:top w:val="single" w:color="auto" w:sz="12" w:space="0"/>
                    <w:bottom w:val="single" w:color="auto" w:sz="4" w:space="0"/>
                  </w:tcBorders>
                  <w:noWrap w:val="0"/>
                  <w:vAlign w:val="center"/>
                </w:tcPr>
                <w:p w14:paraId="226174D1">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kern w:val="28"/>
                      <w:sz w:val="18"/>
                      <w:szCs w:val="18"/>
                      <w:highlight w:val="none"/>
                      <w:lang w:eastAsia="zh-CN"/>
                    </w:rPr>
                  </w:pPr>
                  <w:r>
                    <w:rPr>
                      <w:rFonts w:hint="eastAsia" w:ascii="Times New Roman" w:hAnsi="Times New Roman" w:eastAsia="宋体" w:cs="Times New Roman"/>
                      <w:color w:val="000000"/>
                      <w:kern w:val="2"/>
                      <w:sz w:val="18"/>
                      <w:szCs w:val="18"/>
                      <w:highlight w:val="none"/>
                      <w:lang w:val="en-US" w:eastAsia="zh-CN" w:bidi="ar-SA"/>
                    </w:rPr>
                    <w:t>843600</w:t>
                  </w:r>
                  <w:r>
                    <w:rPr>
                      <w:rFonts w:hint="eastAsia" w:ascii="Times New Roman" w:hAnsi="Times New Roman" w:eastAsia="宋体" w:cs="Times New Roman"/>
                      <w:b w:val="0"/>
                      <w:bCs w:val="0"/>
                      <w:sz w:val="18"/>
                      <w:szCs w:val="18"/>
                      <w:highlight w:val="none"/>
                      <w:vertAlign w:val="baseline"/>
                      <w:lang w:val="en-US" w:eastAsia="zh-CN"/>
                    </w:rPr>
                    <w:t>m</w:t>
                  </w:r>
                  <w:r>
                    <w:rPr>
                      <w:rFonts w:hint="eastAsia" w:ascii="Times New Roman" w:hAnsi="Times New Roman" w:eastAsia="宋体" w:cs="Times New Roman"/>
                      <w:b w:val="0"/>
                      <w:bCs w:val="0"/>
                      <w:sz w:val="18"/>
                      <w:szCs w:val="18"/>
                      <w:highlight w:val="none"/>
                      <w:vertAlign w:val="superscript"/>
                      <w:lang w:val="en-US" w:eastAsia="zh-CN"/>
                    </w:rPr>
                    <w:t>3</w:t>
                  </w:r>
                </w:p>
              </w:tc>
              <w:tc>
                <w:tcPr>
                  <w:tcW w:w="1455" w:type="dxa"/>
                  <w:tcBorders>
                    <w:top w:val="single" w:color="auto" w:sz="12" w:space="0"/>
                    <w:bottom w:val="single" w:color="auto" w:sz="4" w:space="0"/>
                  </w:tcBorders>
                  <w:noWrap w:val="0"/>
                  <w:vAlign w:val="center"/>
                </w:tcPr>
                <w:p w14:paraId="5A026F76">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kern w:val="28"/>
                      <w:sz w:val="18"/>
                      <w:szCs w:val="18"/>
                      <w:highlight w:val="none"/>
                      <w:lang w:eastAsia="zh-CN"/>
                    </w:rPr>
                  </w:pPr>
                  <w:r>
                    <w:rPr>
                      <w:rFonts w:hint="eastAsia" w:ascii="Times New Roman" w:hAnsi="Times New Roman" w:eastAsia="宋体" w:cs="Times New Roman"/>
                      <w:sz w:val="18"/>
                      <w:szCs w:val="18"/>
                      <w:highlight w:val="none"/>
                      <w:lang w:val="en-US" w:eastAsia="zh-CN"/>
                    </w:rPr>
                    <w:t>2212335</w:t>
                  </w:r>
                  <w:r>
                    <w:rPr>
                      <w:rFonts w:hint="eastAsia" w:ascii="Times New Roman" w:hAnsi="Times New Roman" w:eastAsia="宋体" w:cs="Times New Roman"/>
                      <w:b w:val="0"/>
                      <w:bCs w:val="0"/>
                      <w:sz w:val="18"/>
                      <w:szCs w:val="18"/>
                      <w:highlight w:val="none"/>
                      <w:vertAlign w:val="baseline"/>
                      <w:lang w:val="en-US" w:eastAsia="zh-CN"/>
                    </w:rPr>
                    <w:t>m</w:t>
                  </w:r>
                  <w:r>
                    <w:rPr>
                      <w:rFonts w:hint="eastAsia" w:ascii="Times New Roman" w:hAnsi="Times New Roman" w:eastAsia="宋体" w:cs="Times New Roman"/>
                      <w:b w:val="0"/>
                      <w:bCs w:val="0"/>
                      <w:sz w:val="18"/>
                      <w:szCs w:val="18"/>
                      <w:highlight w:val="none"/>
                      <w:vertAlign w:val="superscript"/>
                      <w:lang w:val="en-US" w:eastAsia="zh-CN"/>
                    </w:rPr>
                    <w:t>3</w:t>
                  </w:r>
                </w:p>
              </w:tc>
              <w:tc>
                <w:tcPr>
                  <w:tcW w:w="4372" w:type="dxa"/>
                  <w:tcBorders>
                    <w:top w:val="single" w:color="auto" w:sz="12" w:space="0"/>
                    <w:bottom w:val="single" w:color="auto" w:sz="4" w:space="0"/>
                  </w:tcBorders>
                  <w:noWrap w:val="0"/>
                  <w:vAlign w:val="center"/>
                </w:tcPr>
                <w:p w14:paraId="20B7981E">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循环利用，补水来自</w:t>
                  </w:r>
                  <w:r>
                    <w:rPr>
                      <w:rFonts w:hint="default" w:ascii="Times New Roman" w:hAnsi="Times New Roman" w:eastAsia="宋体" w:cs="Times New Roman"/>
                      <w:color w:val="000000"/>
                      <w:kern w:val="2"/>
                      <w:sz w:val="18"/>
                      <w:szCs w:val="18"/>
                      <w:highlight w:val="none"/>
                      <w:lang w:val="en-US" w:eastAsia="zh-CN" w:bidi="ar-SA"/>
                    </w:rPr>
                    <w:t>厂界周围的人工筑堰塘</w:t>
                  </w:r>
                </w:p>
              </w:tc>
            </w:tr>
            <w:tr w14:paraId="2622BF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0" w:type="pct"/>
                  <w:tcBorders>
                    <w:top w:val="single" w:color="auto" w:sz="4" w:space="0"/>
                    <w:bottom w:val="single" w:color="auto" w:sz="4" w:space="0"/>
                  </w:tcBorders>
                  <w:noWrap w:val="0"/>
                  <w:vAlign w:val="center"/>
                </w:tcPr>
                <w:p w14:paraId="4572211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kern w:val="28"/>
                      <w:sz w:val="18"/>
                      <w:szCs w:val="18"/>
                      <w:highlight w:val="none"/>
                      <w:lang w:val="en-US" w:eastAsia="zh-CN"/>
                    </w:rPr>
                  </w:pPr>
                  <w:r>
                    <w:rPr>
                      <w:rFonts w:hint="eastAsia" w:ascii="Times New Roman" w:hAnsi="Times New Roman" w:eastAsia="宋体" w:cs="Times New Roman"/>
                      <w:b w:val="0"/>
                      <w:bCs w:val="0"/>
                      <w:sz w:val="18"/>
                      <w:szCs w:val="18"/>
                      <w:highlight w:val="none"/>
                      <w:vertAlign w:val="baseline"/>
                      <w:lang w:val="en-US" w:eastAsia="zh-CN"/>
                    </w:rPr>
                    <w:t>2</w:t>
                  </w:r>
                </w:p>
              </w:tc>
              <w:tc>
                <w:tcPr>
                  <w:tcW w:w="635" w:type="pct"/>
                  <w:tcBorders>
                    <w:top w:val="single" w:color="auto" w:sz="4" w:space="0"/>
                    <w:bottom w:val="single" w:color="auto" w:sz="4" w:space="0"/>
                  </w:tcBorders>
                  <w:noWrap w:val="0"/>
                  <w:vAlign w:val="center"/>
                </w:tcPr>
                <w:p w14:paraId="5755C6C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kern w:val="28"/>
                      <w:sz w:val="18"/>
                      <w:szCs w:val="18"/>
                      <w:highlight w:val="none"/>
                      <w:lang w:eastAsia="zh-CN"/>
                    </w:rPr>
                  </w:pPr>
                  <w:r>
                    <w:rPr>
                      <w:rFonts w:hint="eastAsia" w:ascii="Times New Roman" w:hAnsi="Times New Roman" w:eastAsia="宋体" w:cs="Times New Roman"/>
                      <w:b w:val="0"/>
                      <w:bCs w:val="0"/>
                      <w:sz w:val="18"/>
                      <w:szCs w:val="18"/>
                      <w:highlight w:val="none"/>
                      <w:vertAlign w:val="baseline"/>
                      <w:lang w:val="en-US" w:eastAsia="zh-CN"/>
                    </w:rPr>
                    <w:t>生活用水</w:t>
                  </w:r>
                </w:p>
              </w:tc>
              <w:tc>
                <w:tcPr>
                  <w:tcW w:w="1650" w:type="dxa"/>
                  <w:tcBorders>
                    <w:top w:val="single" w:color="auto" w:sz="4" w:space="0"/>
                    <w:bottom w:val="single" w:color="auto" w:sz="4" w:space="0"/>
                  </w:tcBorders>
                  <w:noWrap w:val="0"/>
                  <w:vAlign w:val="center"/>
                </w:tcPr>
                <w:p w14:paraId="229B23F4">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kern w:val="28"/>
                      <w:sz w:val="18"/>
                      <w:szCs w:val="18"/>
                      <w:highlight w:val="none"/>
                      <w:lang w:val="en-US" w:eastAsia="zh-CN"/>
                    </w:rPr>
                  </w:pPr>
                  <w:r>
                    <w:rPr>
                      <w:rFonts w:hint="eastAsia" w:ascii="Times New Roman" w:hAnsi="Times New Roman" w:eastAsia="宋体" w:cs="Times New Roman"/>
                      <w:color w:val="000000"/>
                      <w:kern w:val="2"/>
                      <w:sz w:val="18"/>
                      <w:szCs w:val="18"/>
                      <w:highlight w:val="none"/>
                      <w:lang w:val="en-US" w:eastAsia="zh-CN" w:bidi="ar-SA"/>
                    </w:rPr>
                    <w:t>4950</w:t>
                  </w:r>
                  <w:r>
                    <w:rPr>
                      <w:rFonts w:hint="eastAsia" w:ascii="Times New Roman" w:hAnsi="Times New Roman" w:eastAsia="宋体" w:cs="Times New Roman"/>
                      <w:b w:val="0"/>
                      <w:bCs w:val="0"/>
                      <w:sz w:val="18"/>
                      <w:szCs w:val="18"/>
                      <w:highlight w:val="none"/>
                      <w:vertAlign w:val="baseline"/>
                      <w:lang w:val="en-US" w:eastAsia="zh-CN"/>
                    </w:rPr>
                    <w:t>m</w:t>
                  </w:r>
                  <w:r>
                    <w:rPr>
                      <w:rFonts w:hint="eastAsia" w:ascii="Times New Roman" w:hAnsi="Times New Roman" w:eastAsia="宋体" w:cs="Times New Roman"/>
                      <w:b w:val="0"/>
                      <w:bCs w:val="0"/>
                      <w:sz w:val="18"/>
                      <w:szCs w:val="18"/>
                      <w:highlight w:val="none"/>
                      <w:vertAlign w:val="superscript"/>
                      <w:lang w:val="en-US" w:eastAsia="zh-CN"/>
                    </w:rPr>
                    <w:t>3</w:t>
                  </w:r>
                </w:p>
              </w:tc>
              <w:tc>
                <w:tcPr>
                  <w:tcW w:w="1455" w:type="dxa"/>
                  <w:tcBorders>
                    <w:top w:val="single" w:color="auto" w:sz="4" w:space="0"/>
                    <w:bottom w:val="single" w:color="auto" w:sz="4" w:space="0"/>
                  </w:tcBorders>
                  <w:noWrap w:val="0"/>
                  <w:vAlign w:val="center"/>
                </w:tcPr>
                <w:p w14:paraId="0E0FE674">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kern w:val="28"/>
                      <w:sz w:val="18"/>
                      <w:szCs w:val="18"/>
                      <w:highlight w:val="none"/>
                      <w:lang w:val="en-US" w:eastAsia="zh-CN" w:bidi="zh-CN"/>
                    </w:rPr>
                  </w:pPr>
                  <w:r>
                    <w:rPr>
                      <w:rFonts w:hint="eastAsia" w:ascii="Times New Roman" w:hAnsi="Times New Roman" w:eastAsia="宋体" w:cs="Times New Roman"/>
                      <w:sz w:val="18"/>
                      <w:szCs w:val="18"/>
                      <w:highlight w:val="none"/>
                      <w:lang w:val="en-US" w:eastAsia="zh-CN"/>
                    </w:rPr>
                    <w:t>13470</w:t>
                  </w:r>
                  <w:r>
                    <w:rPr>
                      <w:rFonts w:hint="eastAsia" w:ascii="Times New Roman" w:hAnsi="Times New Roman" w:eastAsia="宋体" w:cs="Times New Roman"/>
                      <w:b w:val="0"/>
                      <w:bCs w:val="0"/>
                      <w:sz w:val="18"/>
                      <w:szCs w:val="18"/>
                      <w:highlight w:val="none"/>
                      <w:vertAlign w:val="baseline"/>
                      <w:lang w:val="en-US" w:eastAsia="zh-CN"/>
                    </w:rPr>
                    <w:t>m</w:t>
                  </w:r>
                  <w:r>
                    <w:rPr>
                      <w:rFonts w:hint="eastAsia" w:ascii="Times New Roman" w:hAnsi="Times New Roman" w:eastAsia="宋体" w:cs="Times New Roman"/>
                      <w:b w:val="0"/>
                      <w:bCs w:val="0"/>
                      <w:sz w:val="18"/>
                      <w:szCs w:val="18"/>
                      <w:highlight w:val="none"/>
                      <w:vertAlign w:val="superscript"/>
                      <w:lang w:val="en-US" w:eastAsia="zh-CN"/>
                    </w:rPr>
                    <w:t>3</w:t>
                  </w:r>
                </w:p>
              </w:tc>
              <w:tc>
                <w:tcPr>
                  <w:tcW w:w="4372" w:type="dxa"/>
                  <w:tcBorders>
                    <w:top w:val="single" w:color="auto" w:sz="4" w:space="0"/>
                    <w:bottom w:val="single" w:color="auto" w:sz="4" w:space="0"/>
                  </w:tcBorders>
                  <w:noWrap w:val="0"/>
                  <w:vAlign w:val="center"/>
                </w:tcPr>
                <w:p w14:paraId="1D7911F8">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自来水地供水管网和购买桶装纯净水</w:t>
                  </w:r>
                </w:p>
              </w:tc>
            </w:tr>
            <w:tr w14:paraId="7BA70B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0" w:type="pct"/>
                  <w:tcBorders>
                    <w:top w:val="single" w:color="auto" w:sz="4" w:space="0"/>
                    <w:bottom w:val="single" w:color="auto" w:sz="4" w:space="0"/>
                  </w:tcBorders>
                  <w:noWrap w:val="0"/>
                  <w:vAlign w:val="center"/>
                </w:tcPr>
                <w:p w14:paraId="1F6657E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kern w:val="28"/>
                      <w:sz w:val="18"/>
                      <w:szCs w:val="18"/>
                      <w:highlight w:val="none"/>
                      <w:lang w:val="en-US" w:eastAsia="zh-CN"/>
                    </w:rPr>
                  </w:pPr>
                  <w:r>
                    <w:rPr>
                      <w:rFonts w:hint="eastAsia" w:ascii="Times New Roman" w:hAnsi="Times New Roman" w:eastAsia="宋体" w:cs="Times New Roman"/>
                      <w:b w:val="0"/>
                      <w:bCs w:val="0"/>
                      <w:sz w:val="18"/>
                      <w:szCs w:val="18"/>
                      <w:highlight w:val="none"/>
                      <w:vertAlign w:val="baseline"/>
                      <w:lang w:val="en-US" w:eastAsia="zh-CN"/>
                    </w:rPr>
                    <w:t>3</w:t>
                  </w:r>
                </w:p>
              </w:tc>
              <w:tc>
                <w:tcPr>
                  <w:tcW w:w="635" w:type="pct"/>
                  <w:tcBorders>
                    <w:top w:val="single" w:color="auto" w:sz="4" w:space="0"/>
                    <w:bottom w:val="single" w:color="auto" w:sz="4" w:space="0"/>
                  </w:tcBorders>
                  <w:noWrap w:val="0"/>
                  <w:vAlign w:val="center"/>
                </w:tcPr>
                <w:p w14:paraId="21EC2D4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kern w:val="28"/>
                      <w:sz w:val="18"/>
                      <w:szCs w:val="18"/>
                      <w:highlight w:val="none"/>
                      <w:lang w:eastAsia="zh-CN"/>
                    </w:rPr>
                  </w:pPr>
                  <w:r>
                    <w:rPr>
                      <w:rFonts w:hint="eastAsia" w:ascii="Times New Roman" w:hAnsi="Times New Roman" w:eastAsia="宋体" w:cs="Times New Roman"/>
                      <w:b w:val="0"/>
                      <w:bCs w:val="0"/>
                      <w:sz w:val="18"/>
                      <w:szCs w:val="18"/>
                      <w:highlight w:val="none"/>
                      <w:vertAlign w:val="baseline"/>
                      <w:lang w:val="en-US" w:eastAsia="zh-CN"/>
                    </w:rPr>
                    <w:t>电</w:t>
                  </w:r>
                </w:p>
              </w:tc>
              <w:tc>
                <w:tcPr>
                  <w:tcW w:w="1650" w:type="dxa"/>
                  <w:tcBorders>
                    <w:top w:val="single" w:color="auto" w:sz="4" w:space="0"/>
                    <w:bottom w:val="single" w:color="auto" w:sz="4" w:space="0"/>
                  </w:tcBorders>
                  <w:noWrap w:val="0"/>
                  <w:vAlign w:val="center"/>
                </w:tcPr>
                <w:p w14:paraId="03159C12">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kern w:val="28"/>
                      <w:sz w:val="18"/>
                      <w:szCs w:val="18"/>
                      <w:highlight w:val="none"/>
                      <w:lang w:val="en-US" w:eastAsia="zh-CN"/>
                    </w:rPr>
                  </w:pPr>
                  <w:r>
                    <w:rPr>
                      <w:rFonts w:hint="eastAsia" w:ascii="Times New Roman" w:hAnsi="Times New Roman" w:eastAsia="宋体" w:cs="Times New Roman"/>
                      <w:color w:val="000000"/>
                      <w:kern w:val="2"/>
                      <w:sz w:val="18"/>
                      <w:szCs w:val="18"/>
                      <w:highlight w:val="none"/>
                      <w:lang w:val="en-US" w:eastAsia="zh-CN" w:bidi="ar-SA"/>
                    </w:rPr>
                    <w:t>2820</w:t>
                  </w:r>
                  <w:r>
                    <w:rPr>
                      <w:rFonts w:hint="eastAsia" w:ascii="Times New Roman" w:hAnsi="Times New Roman" w:eastAsia="宋体" w:cs="Times New Roman"/>
                      <w:sz w:val="18"/>
                      <w:szCs w:val="18"/>
                      <w:highlight w:val="none"/>
                      <w:lang w:val="en-US" w:eastAsia="zh-CN"/>
                    </w:rPr>
                    <w:t>万</w:t>
                  </w:r>
                  <w:r>
                    <w:rPr>
                      <w:rFonts w:hint="eastAsia" w:ascii="Times New Roman" w:hAnsi="Times New Roman" w:eastAsia="宋体" w:cs="Times New Roman"/>
                      <w:b w:val="0"/>
                      <w:bCs w:val="0"/>
                      <w:sz w:val="18"/>
                      <w:szCs w:val="18"/>
                      <w:highlight w:val="none"/>
                      <w:vertAlign w:val="baseline"/>
                      <w:lang w:val="en-US" w:eastAsia="zh-CN"/>
                    </w:rPr>
                    <w:t>kW</w:t>
                  </w:r>
                  <w:r>
                    <w:rPr>
                      <w:rFonts w:hint="eastAsia" w:ascii="宋体" w:hAnsi="宋体" w:eastAsia="宋体" w:cs="宋体"/>
                      <w:b w:val="0"/>
                      <w:bCs w:val="0"/>
                      <w:sz w:val="18"/>
                      <w:szCs w:val="18"/>
                      <w:highlight w:val="none"/>
                      <w:vertAlign w:val="baseline"/>
                      <w:lang w:val="en-US" w:eastAsia="zh-CN"/>
                    </w:rPr>
                    <w:t>•</w:t>
                  </w:r>
                  <w:r>
                    <w:rPr>
                      <w:rFonts w:hint="eastAsia" w:ascii="Times New Roman" w:hAnsi="Times New Roman" w:eastAsia="宋体" w:cs="Times New Roman"/>
                      <w:b w:val="0"/>
                      <w:bCs w:val="0"/>
                      <w:sz w:val="18"/>
                      <w:szCs w:val="18"/>
                      <w:highlight w:val="none"/>
                      <w:vertAlign w:val="baseline"/>
                      <w:lang w:val="en-US" w:eastAsia="zh-CN"/>
                    </w:rPr>
                    <w:t>h</w:t>
                  </w:r>
                </w:p>
              </w:tc>
              <w:tc>
                <w:tcPr>
                  <w:tcW w:w="1455" w:type="dxa"/>
                  <w:tcBorders>
                    <w:top w:val="single" w:color="auto" w:sz="4" w:space="0"/>
                    <w:bottom w:val="single" w:color="auto" w:sz="4" w:space="0"/>
                  </w:tcBorders>
                  <w:noWrap w:val="0"/>
                  <w:vAlign w:val="center"/>
                </w:tcPr>
                <w:p w14:paraId="1B9FAB94">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kern w:val="28"/>
                      <w:sz w:val="18"/>
                      <w:szCs w:val="18"/>
                      <w:highlight w:val="none"/>
                      <w:lang w:val="en-US" w:eastAsia="zh-CN" w:bidi="zh-CN"/>
                    </w:rPr>
                  </w:pPr>
                  <w:r>
                    <w:rPr>
                      <w:rFonts w:hint="eastAsia" w:ascii="Times New Roman" w:hAnsi="Times New Roman" w:eastAsia="宋体" w:cs="Times New Roman"/>
                      <w:color w:val="000000"/>
                      <w:kern w:val="2"/>
                      <w:sz w:val="18"/>
                      <w:szCs w:val="18"/>
                      <w:highlight w:val="none"/>
                      <w:lang w:val="en-US" w:eastAsia="zh-CN" w:bidi="ar-SA"/>
                    </w:rPr>
                    <w:t>2820</w:t>
                  </w:r>
                  <w:r>
                    <w:rPr>
                      <w:rFonts w:hint="eastAsia" w:ascii="Times New Roman" w:hAnsi="Times New Roman" w:eastAsia="宋体" w:cs="Times New Roman"/>
                      <w:sz w:val="18"/>
                      <w:szCs w:val="18"/>
                      <w:highlight w:val="none"/>
                      <w:lang w:val="en-US" w:eastAsia="zh-CN"/>
                    </w:rPr>
                    <w:t>万</w:t>
                  </w:r>
                  <w:r>
                    <w:rPr>
                      <w:rFonts w:hint="eastAsia" w:ascii="Times New Roman" w:hAnsi="Times New Roman" w:eastAsia="宋体" w:cs="Times New Roman"/>
                      <w:b w:val="0"/>
                      <w:bCs w:val="0"/>
                      <w:sz w:val="18"/>
                      <w:szCs w:val="18"/>
                      <w:highlight w:val="none"/>
                      <w:vertAlign w:val="baseline"/>
                      <w:lang w:val="en-US" w:eastAsia="zh-CN"/>
                    </w:rPr>
                    <w:t>kW</w:t>
                  </w:r>
                  <w:r>
                    <w:rPr>
                      <w:rFonts w:hint="eastAsia" w:ascii="宋体" w:hAnsi="宋体" w:eastAsia="宋体" w:cs="宋体"/>
                      <w:b w:val="0"/>
                      <w:bCs w:val="0"/>
                      <w:sz w:val="18"/>
                      <w:szCs w:val="18"/>
                      <w:highlight w:val="none"/>
                      <w:vertAlign w:val="baseline"/>
                      <w:lang w:val="en-US" w:eastAsia="zh-CN"/>
                    </w:rPr>
                    <w:t>•</w:t>
                  </w:r>
                  <w:r>
                    <w:rPr>
                      <w:rFonts w:hint="eastAsia" w:ascii="Times New Roman" w:hAnsi="Times New Roman" w:eastAsia="宋体" w:cs="Times New Roman"/>
                      <w:b w:val="0"/>
                      <w:bCs w:val="0"/>
                      <w:sz w:val="18"/>
                      <w:szCs w:val="18"/>
                      <w:highlight w:val="none"/>
                      <w:vertAlign w:val="baseline"/>
                      <w:lang w:val="en-US" w:eastAsia="zh-CN"/>
                    </w:rPr>
                    <w:t>h</w:t>
                  </w:r>
                </w:p>
              </w:tc>
              <w:tc>
                <w:tcPr>
                  <w:tcW w:w="4372" w:type="dxa"/>
                  <w:tcBorders>
                    <w:top w:val="single" w:color="auto" w:sz="4" w:space="0"/>
                    <w:bottom w:val="single" w:color="auto" w:sz="4" w:space="0"/>
                  </w:tcBorders>
                  <w:noWrap w:val="0"/>
                  <w:vAlign w:val="center"/>
                </w:tcPr>
                <w:p w14:paraId="5B590147">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kern w:val="28"/>
                      <w:sz w:val="18"/>
                      <w:szCs w:val="18"/>
                      <w:highlight w:val="none"/>
                      <w:lang w:val="en-US" w:eastAsia="zh-CN"/>
                    </w:rPr>
                  </w:pPr>
                  <w:r>
                    <w:rPr>
                      <w:rFonts w:hint="eastAsia" w:ascii="Times New Roman" w:hAnsi="Times New Roman" w:eastAsia="宋体" w:cs="Times New Roman"/>
                      <w:color w:val="000000"/>
                      <w:kern w:val="2"/>
                      <w:sz w:val="18"/>
                      <w:szCs w:val="18"/>
                      <w:highlight w:val="none"/>
                      <w:lang w:val="en-US" w:eastAsia="zh-CN" w:bidi="ar-SA"/>
                    </w:rPr>
                    <w:t>当地电网供给，采矿场设置</w:t>
                  </w:r>
                  <w:r>
                    <w:rPr>
                      <w:rFonts w:hint="default" w:ascii="Times New Roman" w:hAnsi="Times New Roman" w:eastAsia="宋体" w:cs="Times New Roman"/>
                      <w:color w:val="000000"/>
                      <w:kern w:val="2"/>
                      <w:sz w:val="18"/>
                      <w:szCs w:val="18"/>
                      <w:highlight w:val="none"/>
                      <w:lang w:val="en-US" w:eastAsia="zh-CN" w:bidi="ar-SA"/>
                    </w:rPr>
                    <w:t>20</w:t>
                  </w:r>
                  <w:r>
                    <w:rPr>
                      <w:rFonts w:hint="eastAsia" w:ascii="Times New Roman" w:hAnsi="Times New Roman" w:eastAsia="宋体" w:cs="Times New Roman"/>
                      <w:color w:val="000000"/>
                      <w:kern w:val="2"/>
                      <w:sz w:val="18"/>
                      <w:szCs w:val="18"/>
                      <w:highlight w:val="none"/>
                      <w:lang w:val="en-US" w:eastAsia="zh-CN" w:bidi="ar-SA"/>
                    </w:rPr>
                    <w:t>台降压变压器，将电压降至</w:t>
                  </w:r>
                  <w:r>
                    <w:rPr>
                      <w:rFonts w:hint="default" w:ascii="Times New Roman" w:hAnsi="Times New Roman" w:eastAsia="宋体" w:cs="Times New Roman"/>
                      <w:color w:val="000000"/>
                      <w:kern w:val="2"/>
                      <w:sz w:val="18"/>
                      <w:szCs w:val="18"/>
                      <w:highlight w:val="none"/>
                      <w:lang w:val="en-US" w:eastAsia="zh-CN" w:bidi="ar-SA"/>
                    </w:rPr>
                    <w:t>380V</w:t>
                  </w:r>
                  <w:r>
                    <w:rPr>
                      <w:rFonts w:hint="eastAsia" w:ascii="Times New Roman" w:hAnsi="Times New Roman" w:eastAsia="宋体" w:cs="Times New Roman"/>
                      <w:color w:val="000000"/>
                      <w:kern w:val="2"/>
                      <w:sz w:val="18"/>
                      <w:szCs w:val="18"/>
                      <w:highlight w:val="none"/>
                      <w:lang w:val="en-US" w:eastAsia="zh-CN" w:bidi="ar-SA"/>
                    </w:rPr>
                    <w:t>供给采矿用电设备使用。</w:t>
                  </w:r>
                </w:p>
              </w:tc>
            </w:tr>
            <w:tr w14:paraId="40876C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0" w:type="pct"/>
                  <w:tcBorders>
                    <w:top w:val="single" w:color="auto" w:sz="4" w:space="0"/>
                    <w:bottom w:val="single" w:color="000000" w:sz="12" w:space="0"/>
                  </w:tcBorders>
                  <w:noWrap w:val="0"/>
                  <w:vAlign w:val="center"/>
                </w:tcPr>
                <w:p w14:paraId="325A35A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kern w:val="28"/>
                      <w:sz w:val="18"/>
                      <w:szCs w:val="18"/>
                      <w:highlight w:val="none"/>
                      <w:lang w:val="en-US" w:eastAsia="zh-CN"/>
                    </w:rPr>
                  </w:pPr>
                  <w:r>
                    <w:rPr>
                      <w:rFonts w:hint="eastAsia" w:ascii="Times New Roman" w:hAnsi="Times New Roman" w:eastAsia="宋体" w:cs="Times New Roman"/>
                      <w:b w:val="0"/>
                      <w:bCs w:val="0"/>
                      <w:sz w:val="18"/>
                      <w:szCs w:val="18"/>
                      <w:highlight w:val="none"/>
                      <w:vertAlign w:val="baseline"/>
                      <w:lang w:val="en-US" w:eastAsia="zh-CN"/>
                    </w:rPr>
                    <w:t>4</w:t>
                  </w:r>
                </w:p>
              </w:tc>
              <w:tc>
                <w:tcPr>
                  <w:tcW w:w="635" w:type="pct"/>
                  <w:tcBorders>
                    <w:top w:val="single" w:color="auto" w:sz="4" w:space="0"/>
                    <w:bottom w:val="single" w:color="000000" w:sz="12" w:space="0"/>
                  </w:tcBorders>
                  <w:noWrap w:val="0"/>
                  <w:vAlign w:val="center"/>
                </w:tcPr>
                <w:p w14:paraId="109AD33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kern w:val="28"/>
                      <w:sz w:val="18"/>
                      <w:szCs w:val="18"/>
                      <w:highlight w:val="none"/>
                      <w:lang w:eastAsia="zh-CN"/>
                    </w:rPr>
                  </w:pPr>
                  <w:r>
                    <w:rPr>
                      <w:rFonts w:hint="eastAsia" w:cs="Times New Roman"/>
                      <w:b w:val="0"/>
                      <w:bCs w:val="0"/>
                      <w:sz w:val="18"/>
                      <w:szCs w:val="18"/>
                      <w:highlight w:val="none"/>
                      <w:vertAlign w:val="baseline"/>
                      <w:lang w:val="en-US" w:eastAsia="zh-CN"/>
                    </w:rPr>
                    <w:t>柴油</w:t>
                  </w:r>
                </w:p>
              </w:tc>
              <w:tc>
                <w:tcPr>
                  <w:tcW w:w="1650" w:type="dxa"/>
                  <w:tcBorders>
                    <w:top w:val="single" w:color="auto" w:sz="4" w:space="0"/>
                    <w:bottom w:val="single" w:color="000000" w:sz="12" w:space="0"/>
                  </w:tcBorders>
                  <w:noWrap w:val="0"/>
                  <w:vAlign w:val="center"/>
                </w:tcPr>
                <w:p w14:paraId="0885ADEA">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eastAsia" w:cs="Times New Roman"/>
                      <w:b w:val="0"/>
                      <w:bCs w:val="0"/>
                      <w:color w:val="000000"/>
                      <w:sz w:val="18"/>
                      <w:szCs w:val="18"/>
                      <w:highlight w:val="none"/>
                      <w:vertAlign w:val="baseline"/>
                      <w:lang w:val="en-US" w:eastAsia="zh-CN"/>
                    </w:rPr>
                    <w:t>200</w:t>
                  </w:r>
                  <w:r>
                    <w:rPr>
                      <w:rFonts w:hint="eastAsia" w:cs="Times New Roman"/>
                      <w:b w:val="0"/>
                      <w:bCs w:val="0"/>
                      <w:sz w:val="18"/>
                      <w:szCs w:val="18"/>
                      <w:highlight w:val="none"/>
                      <w:vertAlign w:val="baseline"/>
                      <w:lang w:val="en-US" w:eastAsia="zh-CN"/>
                    </w:rPr>
                    <w:t>吨</w:t>
                  </w:r>
                </w:p>
              </w:tc>
              <w:tc>
                <w:tcPr>
                  <w:tcW w:w="1455" w:type="dxa"/>
                  <w:tcBorders>
                    <w:top w:val="single" w:color="auto" w:sz="4" w:space="0"/>
                    <w:bottom w:val="single" w:color="000000" w:sz="12" w:space="0"/>
                  </w:tcBorders>
                  <w:noWrap w:val="0"/>
                  <w:vAlign w:val="center"/>
                </w:tcPr>
                <w:p w14:paraId="1FE8089C">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zh-CN"/>
                    </w:rPr>
                  </w:pPr>
                  <w:r>
                    <w:rPr>
                      <w:rFonts w:hint="eastAsia" w:cs="Times New Roman"/>
                      <w:b w:val="0"/>
                      <w:bCs w:val="0"/>
                      <w:color w:val="000000"/>
                      <w:sz w:val="18"/>
                      <w:szCs w:val="18"/>
                      <w:highlight w:val="none"/>
                      <w:vertAlign w:val="baseline"/>
                      <w:lang w:val="en-US" w:eastAsia="zh-CN"/>
                    </w:rPr>
                    <w:t>200</w:t>
                  </w:r>
                  <w:r>
                    <w:rPr>
                      <w:rFonts w:hint="eastAsia" w:cs="Times New Roman"/>
                      <w:b w:val="0"/>
                      <w:bCs w:val="0"/>
                      <w:sz w:val="18"/>
                      <w:szCs w:val="18"/>
                      <w:highlight w:val="none"/>
                      <w:vertAlign w:val="baseline"/>
                      <w:lang w:val="en-US" w:eastAsia="zh-CN"/>
                    </w:rPr>
                    <w:t>吨</w:t>
                  </w:r>
                </w:p>
              </w:tc>
              <w:tc>
                <w:tcPr>
                  <w:tcW w:w="4372" w:type="dxa"/>
                  <w:tcBorders>
                    <w:top w:val="single" w:color="auto" w:sz="4" w:space="0"/>
                    <w:bottom w:val="single" w:color="000000" w:sz="12" w:space="0"/>
                  </w:tcBorders>
                  <w:noWrap w:val="0"/>
                  <w:vAlign w:val="center"/>
                </w:tcPr>
                <w:p w14:paraId="26F84629">
                  <w:pPr>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kern w:val="28"/>
                      <w:sz w:val="18"/>
                      <w:szCs w:val="18"/>
                      <w:highlight w:val="none"/>
                      <w:lang w:val="en-US" w:eastAsia="zh-CN"/>
                    </w:rPr>
                  </w:pPr>
                  <w:r>
                    <w:rPr>
                      <w:rFonts w:hint="eastAsia" w:cs="Times New Roman"/>
                      <w:color w:val="000000"/>
                      <w:sz w:val="18"/>
                      <w:szCs w:val="18"/>
                      <w:highlight w:val="none"/>
                      <w:lang w:val="en-US" w:eastAsia="zh-CN"/>
                    </w:rPr>
                    <w:t>4</w:t>
                  </w:r>
                  <w:r>
                    <w:rPr>
                      <w:rFonts w:hint="eastAsia" w:ascii="Times New Roman" w:hAnsi="Times New Roman" w:eastAsia="宋体" w:cs="Times New Roman"/>
                      <w:color w:val="000000"/>
                      <w:sz w:val="18"/>
                      <w:szCs w:val="18"/>
                      <w:highlight w:val="none"/>
                      <w:lang w:val="en-US" w:eastAsia="zh-CN"/>
                    </w:rPr>
                    <w:t>个5吨卧式油罐，1个7吨卧式油罐，1个3吨卧式油罐，最大储存量为27吨</w:t>
                  </w:r>
                </w:p>
              </w:tc>
            </w:tr>
          </w:tbl>
          <w:p w14:paraId="605A98C9">
            <w:pPr>
              <w:pStyle w:val="23"/>
              <w:keepNext w:val="0"/>
              <w:keepLines w:val="0"/>
              <w:pageBreakBefore w:val="0"/>
              <w:widowControl w:val="0"/>
              <w:tabs>
                <w:tab w:val="left" w:pos="1273"/>
              </w:tabs>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lang w:eastAsia="zh-CN"/>
              </w:rPr>
            </w:pPr>
            <w:r>
              <w:rPr>
                <w:rFonts w:hint="default" w:ascii="Times New Roman" w:hAnsi="Times New Roman" w:cs="Times New Roman"/>
                <w:b/>
                <w:color w:val="auto"/>
                <w:sz w:val="24"/>
              </w:rPr>
              <w:t>（</w:t>
            </w:r>
            <w:r>
              <w:rPr>
                <w:rFonts w:hint="default" w:ascii="Times New Roman" w:hAnsi="Times New Roman" w:cs="Times New Roman"/>
                <w:b/>
                <w:color w:val="auto"/>
                <w:sz w:val="24"/>
                <w:lang w:val="en-US" w:eastAsia="zh-CN"/>
              </w:rPr>
              <w:t>4</w:t>
            </w:r>
            <w:r>
              <w:rPr>
                <w:rFonts w:hint="default" w:ascii="Times New Roman" w:hAnsi="Times New Roman" w:cs="Times New Roman"/>
                <w:b/>
                <w:color w:val="auto"/>
                <w:sz w:val="24"/>
              </w:rPr>
              <w:t>）</w:t>
            </w:r>
            <w:r>
              <w:rPr>
                <w:rFonts w:hint="default" w:ascii="Times New Roman" w:hAnsi="Times New Roman" w:cs="Times New Roman"/>
                <w:b/>
                <w:color w:val="auto"/>
                <w:sz w:val="24"/>
                <w:lang w:val="en-US" w:eastAsia="zh-CN"/>
              </w:rPr>
              <w:t>产品方案</w:t>
            </w:r>
          </w:p>
          <w:p w14:paraId="6E8D0E77">
            <w:pPr>
              <w:pStyle w:val="23"/>
              <w:keepNext w:val="0"/>
              <w:keepLines w:val="0"/>
              <w:pageBreakBefore w:val="0"/>
              <w:widowControl w:val="0"/>
              <w:tabs>
                <w:tab w:val="left" w:pos="1273"/>
              </w:tabs>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项目产品方案见下表。</w:t>
            </w:r>
          </w:p>
          <w:p w14:paraId="3990EDE3">
            <w:pPr>
              <w:pStyle w:val="26"/>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
                <w:bCs/>
                <w:color w:val="auto"/>
                <w:kern w:val="2"/>
                <w:sz w:val="24"/>
                <w:szCs w:val="22"/>
                <w:lang w:val="en-US" w:eastAsia="zh-CN" w:bidi="ar-SA"/>
              </w:rPr>
            </w:pPr>
            <w:r>
              <w:rPr>
                <w:rFonts w:hint="default" w:ascii="Times New Roman" w:hAnsi="Times New Roman" w:eastAsia="宋体" w:cs="Times New Roman"/>
                <w:b/>
                <w:bCs/>
                <w:color w:val="auto"/>
                <w:kern w:val="2"/>
                <w:sz w:val="24"/>
                <w:szCs w:val="22"/>
                <w:lang w:val="en-US" w:eastAsia="zh-CN" w:bidi="ar-SA"/>
              </w:rPr>
              <w:t>表4-</w:t>
            </w:r>
            <w:r>
              <w:rPr>
                <w:rFonts w:hint="eastAsia" w:eastAsia="宋体" w:cs="Times New Roman"/>
                <w:b/>
                <w:bCs/>
                <w:color w:val="auto"/>
                <w:kern w:val="2"/>
                <w:sz w:val="24"/>
                <w:szCs w:val="22"/>
                <w:lang w:val="en-US" w:eastAsia="zh-CN" w:bidi="ar-SA"/>
              </w:rPr>
              <w:t>5</w:t>
            </w:r>
            <w:r>
              <w:rPr>
                <w:rFonts w:hint="default" w:ascii="Times New Roman" w:hAnsi="Times New Roman" w:eastAsia="宋体" w:cs="Times New Roman"/>
                <w:b/>
                <w:bCs/>
                <w:color w:val="auto"/>
                <w:kern w:val="2"/>
                <w:sz w:val="24"/>
                <w:szCs w:val="22"/>
                <w:lang w:val="en-US" w:eastAsia="zh-CN" w:bidi="ar-SA"/>
              </w:rPr>
              <w:t xml:space="preserve">  项目产品方案一览表</w:t>
            </w:r>
          </w:p>
          <w:tbl>
            <w:tblPr>
              <w:tblStyle w:val="1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1070"/>
              <w:gridCol w:w="1818"/>
              <w:gridCol w:w="2745"/>
              <w:gridCol w:w="2745"/>
            </w:tblGrid>
            <w:tr w14:paraId="6C8750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48" w:type="pct"/>
                  <w:tcBorders>
                    <w:top w:val="single" w:color="auto" w:sz="12" w:space="0"/>
                    <w:bottom w:val="single" w:color="auto" w:sz="12" w:space="0"/>
                  </w:tcBorders>
                  <w:noWrap w:val="0"/>
                  <w:vAlign w:val="center"/>
                </w:tcPr>
                <w:p w14:paraId="75D55C5E">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序号</w:t>
                  </w:r>
                </w:p>
              </w:tc>
              <w:tc>
                <w:tcPr>
                  <w:tcW w:w="594" w:type="pct"/>
                  <w:tcBorders>
                    <w:top w:val="single" w:color="auto" w:sz="12" w:space="0"/>
                    <w:bottom w:val="single" w:color="auto" w:sz="12" w:space="0"/>
                  </w:tcBorders>
                  <w:noWrap w:val="0"/>
                  <w:vAlign w:val="center"/>
                </w:tcPr>
                <w:p w14:paraId="2B19FDED">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产品名称</w:t>
                  </w:r>
                </w:p>
              </w:tc>
              <w:tc>
                <w:tcPr>
                  <w:tcW w:w="1009" w:type="pct"/>
                  <w:tcBorders>
                    <w:top w:val="single" w:color="auto" w:sz="12" w:space="0"/>
                    <w:bottom w:val="single" w:color="auto" w:sz="12" w:space="0"/>
                  </w:tcBorders>
                  <w:noWrap w:val="0"/>
                  <w:vAlign w:val="center"/>
                </w:tcPr>
                <w:p w14:paraId="61A10CE0">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环评生产能力</w:t>
                  </w:r>
                </w:p>
              </w:tc>
              <w:tc>
                <w:tcPr>
                  <w:tcW w:w="1523" w:type="pct"/>
                  <w:tcBorders>
                    <w:top w:val="single" w:color="auto" w:sz="12" w:space="0"/>
                    <w:bottom w:val="single" w:color="auto" w:sz="12" w:space="0"/>
                  </w:tcBorders>
                  <w:noWrap w:val="0"/>
                  <w:vAlign w:val="center"/>
                </w:tcPr>
                <w:p w14:paraId="5B768C77">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实际生产能力</w:t>
                  </w:r>
                </w:p>
              </w:tc>
              <w:tc>
                <w:tcPr>
                  <w:tcW w:w="1523" w:type="pct"/>
                  <w:tcBorders>
                    <w:top w:val="single" w:color="auto" w:sz="12" w:space="0"/>
                    <w:bottom w:val="single" w:color="auto" w:sz="12" w:space="0"/>
                  </w:tcBorders>
                  <w:noWrap w:val="0"/>
                  <w:vAlign w:val="center"/>
                </w:tcPr>
                <w:p w14:paraId="74DB9D03">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备注</w:t>
                  </w:r>
                </w:p>
              </w:tc>
            </w:tr>
            <w:tr w14:paraId="25EF31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348" w:type="pct"/>
                  <w:tcBorders>
                    <w:top w:val="single" w:color="auto" w:sz="12" w:space="0"/>
                    <w:bottom w:val="single" w:color="auto" w:sz="12" w:space="0"/>
                  </w:tcBorders>
                  <w:noWrap w:val="0"/>
                  <w:vAlign w:val="center"/>
                </w:tcPr>
                <w:p w14:paraId="2C4C72BE">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w:t>
                  </w:r>
                </w:p>
              </w:tc>
              <w:tc>
                <w:tcPr>
                  <w:tcW w:w="594" w:type="pct"/>
                  <w:tcBorders>
                    <w:top w:val="single" w:color="auto" w:sz="12" w:space="0"/>
                    <w:bottom w:val="single" w:color="auto" w:sz="12" w:space="0"/>
                  </w:tcBorders>
                  <w:noWrap w:val="0"/>
                  <w:vAlign w:val="center"/>
                </w:tcPr>
                <w:p w14:paraId="2B1DF175">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饰面用花岗岩</w:t>
                  </w:r>
                  <w:r>
                    <w:rPr>
                      <w:rFonts w:hint="eastAsia" w:ascii="Times New Roman" w:hAnsi="Times New Roman" w:eastAsia="宋体" w:cs="Times New Roman"/>
                      <w:sz w:val="18"/>
                      <w:szCs w:val="18"/>
                      <w:highlight w:val="none"/>
                      <w:lang w:val="en-US" w:eastAsia="zh-CN"/>
                    </w:rPr>
                    <w:t>荒料</w:t>
                  </w:r>
                </w:p>
              </w:tc>
              <w:tc>
                <w:tcPr>
                  <w:tcW w:w="1009" w:type="pct"/>
                  <w:tcBorders>
                    <w:top w:val="single" w:color="auto" w:sz="12" w:space="0"/>
                    <w:bottom w:val="single" w:color="auto" w:sz="12" w:space="0"/>
                  </w:tcBorders>
                  <w:noWrap w:val="0"/>
                  <w:vAlign w:val="center"/>
                </w:tcPr>
                <w:p w14:paraId="7D82A056">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23万立方米</w:t>
                  </w:r>
                  <w:r>
                    <w:rPr>
                      <w:rFonts w:hint="default" w:ascii="Times New Roman" w:hAnsi="Times New Roman" w:eastAsia="宋体" w:cs="Times New Roman"/>
                      <w:sz w:val="18"/>
                      <w:szCs w:val="18"/>
                      <w:highlight w:val="none"/>
                      <w:lang w:val="en-US" w:eastAsia="zh-CN"/>
                    </w:rPr>
                    <w:t>/年</w:t>
                  </w:r>
                </w:p>
              </w:tc>
              <w:tc>
                <w:tcPr>
                  <w:tcW w:w="1523" w:type="pct"/>
                  <w:tcBorders>
                    <w:top w:val="single" w:color="auto" w:sz="12" w:space="0"/>
                    <w:bottom w:val="single" w:color="auto" w:sz="12" w:space="0"/>
                  </w:tcBorders>
                  <w:noWrap w:val="0"/>
                  <w:vAlign w:val="center"/>
                </w:tcPr>
                <w:p w14:paraId="1E067C0F">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23万立方米</w:t>
                  </w:r>
                  <w:r>
                    <w:rPr>
                      <w:rFonts w:hint="default" w:ascii="Times New Roman" w:hAnsi="Times New Roman" w:eastAsia="宋体" w:cs="Times New Roman"/>
                      <w:sz w:val="18"/>
                      <w:szCs w:val="18"/>
                      <w:highlight w:val="none"/>
                      <w:lang w:val="en-US" w:eastAsia="zh-CN"/>
                    </w:rPr>
                    <w:t>/年</w:t>
                  </w:r>
                </w:p>
              </w:tc>
              <w:tc>
                <w:tcPr>
                  <w:tcW w:w="1523" w:type="pct"/>
                  <w:tcBorders>
                    <w:top w:val="single" w:color="auto" w:sz="12" w:space="0"/>
                    <w:bottom w:val="single" w:color="auto" w:sz="12" w:space="0"/>
                  </w:tcBorders>
                  <w:noWrap w:val="0"/>
                  <w:vAlign w:val="center"/>
                </w:tcPr>
                <w:p w14:paraId="3871C6FD">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其岩性主要为中细粒黑云母二长花岗岩、中细粒斑状黑云母二长花岗岩，其次为细粒黑云母二长花岗岩，</w:t>
                  </w:r>
                  <w:r>
                    <w:rPr>
                      <w:rFonts w:hint="eastAsia" w:cs="Times New Roman"/>
                      <w:sz w:val="18"/>
                      <w:szCs w:val="18"/>
                      <w:highlight w:val="none"/>
                      <w:lang w:val="en-US" w:eastAsia="zh-CN"/>
                    </w:rPr>
                    <w:t>密度约为2.7t/立方</w:t>
                  </w:r>
                </w:p>
              </w:tc>
            </w:tr>
          </w:tbl>
          <w:p w14:paraId="419DF27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现场</w:t>
            </w:r>
            <w:r>
              <w:rPr>
                <w:rFonts w:hint="default" w:ascii="Times New Roman" w:hAnsi="Times New Roman" w:eastAsia="宋体" w:cs="Times New Roman"/>
                <w:color w:val="auto"/>
                <w:sz w:val="24"/>
                <w:szCs w:val="24"/>
                <w:lang w:val="en-US" w:eastAsia="zh-CN"/>
              </w:rPr>
              <w:t>基本情况见下图。</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4"/>
              <w:gridCol w:w="4565"/>
            </w:tblGrid>
            <w:tr w14:paraId="6318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0" w:type="dxa"/>
                  <w:noWrap w:val="0"/>
                  <w:vAlign w:val="center"/>
                </w:tcPr>
                <w:p w14:paraId="23CC46DA">
                  <w:pPr>
                    <w:pStyle w:val="2"/>
                    <w:keepNext/>
                    <w:keepLines/>
                    <w:pageBreakBefore w:val="0"/>
                    <w:widowControl w:val="0"/>
                    <w:kinsoku/>
                    <w:wordWrap/>
                    <w:overflowPunct/>
                    <w:topLinePunct w:val="0"/>
                    <w:autoSpaceDE w:val="0"/>
                    <w:autoSpaceDN w:val="0"/>
                    <w:bidi w:val="0"/>
                    <w:adjustRightInd w:val="0"/>
                    <w:snapToGrid w:val="0"/>
                    <w:spacing w:before="0"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eastAsia="宋体" w:cs="Times New Roman"/>
                      <w:b/>
                      <w:bCs/>
                      <w:color w:val="auto"/>
                      <w:sz w:val="21"/>
                      <w:szCs w:val="21"/>
                      <w:vertAlign w:val="baseline"/>
                      <w:lang w:val="en-US" w:eastAsia="zh-CN" w:bidi="zh-CN"/>
                    </w:rPr>
                    <w:drawing>
                      <wp:inline distT="0" distB="0" distL="114300" distR="114300">
                        <wp:extent cx="2782570" cy="1514475"/>
                        <wp:effectExtent l="0" t="0" r="11430" b="9525"/>
                        <wp:docPr id="4" name="图片 4" descr="IMG_20240522_11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522_111900"/>
                                <pic:cNvPicPr>
                                  <a:picLocks noChangeAspect="1"/>
                                </pic:cNvPicPr>
                              </pic:nvPicPr>
                              <pic:blipFill>
                                <a:blip r:embed="rId18"/>
                                <a:srcRect l="5299" r="12002"/>
                                <a:stretch>
                                  <a:fillRect/>
                                </a:stretch>
                              </pic:blipFill>
                              <pic:spPr>
                                <a:xfrm>
                                  <a:off x="0" y="0"/>
                                  <a:ext cx="2782570" cy="1514475"/>
                                </a:xfrm>
                                <a:prstGeom prst="rect">
                                  <a:avLst/>
                                </a:prstGeom>
                              </pic:spPr>
                            </pic:pic>
                          </a:graphicData>
                        </a:graphic>
                      </wp:inline>
                    </w:drawing>
                  </w:r>
                </w:p>
              </w:tc>
              <w:tc>
                <w:tcPr>
                  <w:tcW w:w="4640" w:type="dxa"/>
                  <w:noWrap w:val="0"/>
                  <w:vAlign w:val="center"/>
                </w:tcPr>
                <w:p w14:paraId="6C548B68">
                  <w:pPr>
                    <w:pStyle w:val="2"/>
                    <w:keepNext/>
                    <w:keepLines/>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eastAsia="宋体" w:cs="Times New Roman"/>
                      <w:b/>
                      <w:bCs/>
                      <w:color w:val="auto"/>
                      <w:sz w:val="21"/>
                      <w:szCs w:val="21"/>
                      <w:vertAlign w:val="baseline"/>
                      <w:lang w:val="en-US" w:eastAsia="zh-CN" w:bidi="zh-CN"/>
                    </w:rPr>
                    <w:drawing>
                      <wp:inline distT="0" distB="0" distL="114300" distR="114300">
                        <wp:extent cx="2749550" cy="1402080"/>
                        <wp:effectExtent l="0" t="0" r="12700" b="10795"/>
                        <wp:docPr id="8" name="图片 8" descr="IMG_20240522_09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522_091714"/>
                                <pic:cNvPicPr>
                                  <a:picLocks noChangeAspect="1"/>
                                </pic:cNvPicPr>
                              </pic:nvPicPr>
                              <pic:blipFill>
                                <a:blip r:embed="rId19"/>
                                <a:srcRect l="11761"/>
                                <a:stretch>
                                  <a:fillRect/>
                                </a:stretch>
                              </pic:blipFill>
                              <pic:spPr>
                                <a:xfrm>
                                  <a:off x="0" y="0"/>
                                  <a:ext cx="2749550" cy="1402080"/>
                                </a:xfrm>
                                <a:prstGeom prst="rect">
                                  <a:avLst/>
                                </a:prstGeom>
                              </pic:spPr>
                            </pic:pic>
                          </a:graphicData>
                        </a:graphic>
                      </wp:inline>
                    </w:drawing>
                  </w:r>
                </w:p>
              </w:tc>
            </w:tr>
            <w:tr w14:paraId="3472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0" w:type="dxa"/>
                  <w:noWrap w:val="0"/>
                  <w:vAlign w:val="center"/>
                </w:tcPr>
                <w:p w14:paraId="4B5BB38D">
                  <w:pPr>
                    <w:pStyle w:val="2"/>
                    <w:keepNext/>
                    <w:keepLines/>
                    <w:pageBreakBefore w:val="0"/>
                    <w:widowControl w:val="0"/>
                    <w:kinsoku/>
                    <w:wordWrap/>
                    <w:overflowPunct/>
                    <w:topLinePunct w:val="0"/>
                    <w:autoSpaceDE w:val="0"/>
                    <w:autoSpaceDN w:val="0"/>
                    <w:bidi w:val="0"/>
                    <w:adjustRightInd w:val="0"/>
                    <w:snapToGrid w:val="0"/>
                    <w:spacing w:before="0"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cs="Times New Roman"/>
                      <w:color w:val="auto"/>
                      <w:sz w:val="21"/>
                      <w:szCs w:val="21"/>
                      <w:vertAlign w:val="baseline"/>
                      <w:lang w:val="en-US" w:eastAsia="zh-CN"/>
                    </w:rPr>
                    <w:t>运营期工业场地</w:t>
                  </w:r>
                </w:p>
              </w:tc>
              <w:tc>
                <w:tcPr>
                  <w:tcW w:w="4640" w:type="dxa"/>
                  <w:noWrap w:val="0"/>
                  <w:vAlign w:val="center"/>
                </w:tcPr>
                <w:p w14:paraId="362968F3">
                  <w:pPr>
                    <w:pStyle w:val="2"/>
                    <w:keepNext/>
                    <w:keepLines/>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cs="Times New Roman"/>
                      <w:color w:val="auto"/>
                      <w:sz w:val="21"/>
                      <w:szCs w:val="21"/>
                      <w:vertAlign w:val="baseline"/>
                      <w:lang w:val="en-US" w:eastAsia="zh-CN"/>
                    </w:rPr>
                    <w:t>运营期</w:t>
                  </w:r>
                  <w:r>
                    <w:rPr>
                      <w:rFonts w:hint="eastAsia" w:ascii="Times New Roman" w:hAnsi="Times New Roman" w:cs="Times New Roman"/>
                      <w:color w:val="auto"/>
                      <w:sz w:val="21"/>
                      <w:szCs w:val="21"/>
                      <w:vertAlign w:val="baseline"/>
                      <w:lang w:val="en-US" w:eastAsia="zh-CN"/>
                    </w:rPr>
                    <w:t>办公生活区</w:t>
                  </w:r>
                </w:p>
              </w:tc>
            </w:tr>
          </w:tbl>
          <w:p w14:paraId="3FE22D8B">
            <w:pPr>
              <w:pStyle w:val="2"/>
              <w:keepNext/>
              <w:keepLines/>
              <w:pageBreakBefore w:val="0"/>
              <w:widowControl w:val="0"/>
              <w:kinsoku/>
              <w:wordWrap/>
              <w:overflowPunct/>
              <w:topLinePunct w:val="0"/>
              <w:autoSpaceDE w:val="0"/>
              <w:autoSpaceDN w:val="0"/>
              <w:bidi w:val="0"/>
              <w:adjustRightInd/>
              <w:snapToGrid/>
              <w:spacing w:before="0" w:after="0" w:afterLines="50" w:line="240" w:lineRule="auto"/>
              <w:jc w:val="center"/>
              <w:textAlignment w:val="auto"/>
              <w:rPr>
                <w:rFonts w:hint="default" w:ascii="Times New Roman" w:hAnsi="Times New Roman" w:eastAsia="宋体" w:cs="Times New Roman"/>
                <w:b/>
                <w:bCs/>
                <w:color w:val="auto"/>
                <w:sz w:val="24"/>
                <w:szCs w:val="22"/>
                <w:vertAlign w:val="baseline"/>
                <w:lang w:val="en-US" w:eastAsia="zh-CN" w:bidi="zh-CN"/>
              </w:rPr>
            </w:pPr>
            <w:r>
              <w:rPr>
                <w:rFonts w:hint="default" w:ascii="Times New Roman" w:hAnsi="Times New Roman" w:eastAsia="宋体" w:cs="Times New Roman"/>
                <w:b/>
                <w:bCs/>
                <w:color w:val="auto"/>
                <w:sz w:val="24"/>
                <w:szCs w:val="22"/>
                <w:vertAlign w:val="baseline"/>
                <w:lang w:val="en-US" w:eastAsia="zh-CN" w:bidi="zh-CN"/>
              </w:rPr>
              <w:t>图4-2  项目现场情况图</w:t>
            </w:r>
          </w:p>
          <w:p w14:paraId="44D55D5A">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（5）</w:t>
            </w:r>
            <w:r>
              <w:rPr>
                <w:rFonts w:hint="default" w:ascii="Times New Roman" w:hAnsi="Times New Roman" w:cs="Times New Roman"/>
                <w:b/>
                <w:bCs/>
                <w:color w:val="auto"/>
                <w:sz w:val="24"/>
                <w:lang w:val="en-US" w:eastAsia="zh-CN"/>
              </w:rPr>
              <w:t>给排水</w:t>
            </w:r>
          </w:p>
          <w:p w14:paraId="037BC88E">
            <w:pPr>
              <w:keepNext w:val="0"/>
              <w:keepLines w:val="0"/>
              <w:pageBreakBefore w:val="0"/>
              <w:widowControl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snapToGrid w:val="0"/>
                <w:color w:val="000000"/>
                <w:kern w:val="0"/>
                <w:sz w:val="24"/>
                <w:szCs w:val="24"/>
                <w:highlight w:val="none"/>
                <w:lang w:val="en-US" w:eastAsia="zh-CN" w:bidi="ar-SA"/>
              </w:rPr>
              <w:t>项目用水主要为</w:t>
            </w:r>
            <w:r>
              <w:rPr>
                <w:rFonts w:hint="eastAsia" w:ascii="Times New Roman" w:hAnsi="Times New Roman" w:eastAsia="宋体" w:cs="Times New Roman"/>
                <w:bCs/>
                <w:snapToGrid w:val="0"/>
                <w:color w:val="000000"/>
                <w:kern w:val="0"/>
                <w:sz w:val="24"/>
                <w:szCs w:val="24"/>
                <w:highlight w:val="none"/>
                <w:lang w:val="en-US" w:eastAsia="zh-CN" w:bidi="ar-SA"/>
              </w:rPr>
              <w:t>生活</w:t>
            </w:r>
            <w:r>
              <w:rPr>
                <w:rFonts w:hint="default" w:ascii="Times New Roman" w:hAnsi="Times New Roman" w:eastAsia="宋体" w:cs="Times New Roman"/>
                <w:bCs/>
                <w:snapToGrid w:val="0"/>
                <w:color w:val="000000"/>
                <w:kern w:val="0"/>
                <w:sz w:val="24"/>
                <w:szCs w:val="24"/>
                <w:highlight w:val="none"/>
                <w:lang w:val="en-US" w:eastAsia="zh-CN" w:bidi="ar-SA"/>
              </w:rPr>
              <w:t>用水</w:t>
            </w:r>
            <w:r>
              <w:rPr>
                <w:rFonts w:hint="eastAsia" w:ascii="Times New Roman" w:hAnsi="Times New Roman" w:eastAsia="宋体" w:cs="Times New Roman"/>
                <w:bCs/>
                <w:snapToGrid w:val="0"/>
                <w:color w:val="000000"/>
                <w:kern w:val="0"/>
                <w:sz w:val="24"/>
                <w:szCs w:val="24"/>
                <w:highlight w:val="none"/>
                <w:lang w:val="en-US" w:eastAsia="zh-CN" w:bidi="ar-SA"/>
              </w:rPr>
              <w:t>（食堂用水、办公生活用水）</w:t>
            </w:r>
            <w:r>
              <w:rPr>
                <w:rFonts w:hint="default" w:ascii="Times New Roman" w:hAnsi="Times New Roman" w:eastAsia="宋体" w:cs="Times New Roman"/>
                <w:bCs/>
                <w:snapToGrid w:val="0"/>
                <w:color w:val="000000"/>
                <w:kern w:val="0"/>
                <w:sz w:val="24"/>
                <w:szCs w:val="24"/>
                <w:highlight w:val="none"/>
                <w:lang w:val="en-US" w:eastAsia="zh-CN" w:bidi="ar-SA"/>
              </w:rPr>
              <w:t>和生产用水</w:t>
            </w:r>
            <w:r>
              <w:rPr>
                <w:rFonts w:hint="eastAsia" w:ascii="Times New Roman" w:hAnsi="Times New Roman" w:eastAsia="宋体" w:cs="Times New Roman"/>
                <w:bCs/>
                <w:snapToGrid w:val="0"/>
                <w:color w:val="000000"/>
                <w:kern w:val="0"/>
                <w:sz w:val="24"/>
                <w:szCs w:val="24"/>
                <w:highlight w:val="none"/>
                <w:lang w:val="en-US" w:eastAsia="zh-CN" w:bidi="ar-SA"/>
              </w:rPr>
              <w:t>（</w:t>
            </w:r>
            <w:r>
              <w:rPr>
                <w:rFonts w:hint="default" w:ascii="Times New Roman" w:hAnsi="Times New Roman" w:eastAsia="宋体" w:cs="Times New Roman"/>
                <w:bCs/>
                <w:snapToGrid w:val="0"/>
                <w:color w:val="000000"/>
                <w:kern w:val="0"/>
                <w:sz w:val="24"/>
                <w:szCs w:val="24"/>
                <w:highlight w:val="none"/>
                <w:lang w:val="en-US" w:eastAsia="zh-CN" w:bidi="ar-SA"/>
              </w:rPr>
              <w:t>切割</w:t>
            </w:r>
            <w:r>
              <w:rPr>
                <w:rFonts w:hint="eastAsia" w:ascii="Times New Roman" w:hAnsi="Times New Roman" w:eastAsia="宋体" w:cs="Times New Roman"/>
                <w:bCs/>
                <w:snapToGrid w:val="0"/>
                <w:color w:val="000000"/>
                <w:kern w:val="0"/>
                <w:sz w:val="24"/>
                <w:szCs w:val="24"/>
                <w:highlight w:val="none"/>
                <w:lang w:val="en-US" w:eastAsia="zh-CN" w:bidi="ar-SA"/>
              </w:rPr>
              <w:t>分离</w:t>
            </w:r>
            <w:r>
              <w:rPr>
                <w:rFonts w:hint="default" w:ascii="Times New Roman" w:hAnsi="Times New Roman" w:eastAsia="宋体" w:cs="Times New Roman"/>
                <w:bCs/>
                <w:snapToGrid w:val="0"/>
                <w:color w:val="000000"/>
                <w:kern w:val="0"/>
                <w:sz w:val="24"/>
                <w:szCs w:val="24"/>
                <w:highlight w:val="none"/>
                <w:lang w:val="en-US" w:eastAsia="zh-CN" w:bidi="ar-SA"/>
              </w:rPr>
              <w:t>用水</w:t>
            </w:r>
            <w:r>
              <w:rPr>
                <w:rFonts w:hint="eastAsia" w:ascii="Times New Roman" w:hAnsi="Times New Roman" w:eastAsia="宋体" w:cs="Times New Roman"/>
                <w:bCs/>
                <w:snapToGrid w:val="0"/>
                <w:color w:val="000000"/>
                <w:kern w:val="0"/>
                <w:sz w:val="24"/>
                <w:szCs w:val="24"/>
                <w:highlight w:val="none"/>
                <w:lang w:val="en-US" w:eastAsia="zh-CN" w:bidi="ar-SA"/>
              </w:rPr>
              <w:t>、</w:t>
            </w:r>
            <w:r>
              <w:rPr>
                <w:rFonts w:hint="default" w:ascii="Times New Roman" w:hAnsi="Times New Roman" w:eastAsia="宋体" w:cs="Times New Roman"/>
                <w:bCs/>
                <w:snapToGrid w:val="0"/>
                <w:color w:val="000000"/>
                <w:kern w:val="0"/>
                <w:sz w:val="24"/>
                <w:szCs w:val="24"/>
                <w:highlight w:val="none"/>
                <w:lang w:val="en-US" w:eastAsia="zh-CN" w:bidi="ar-SA"/>
              </w:rPr>
              <w:t>矿区抑尘用水</w:t>
            </w:r>
            <w:r>
              <w:rPr>
                <w:rFonts w:hint="eastAsia" w:ascii="Times New Roman" w:hAnsi="Times New Roman" w:eastAsia="宋体" w:cs="Times New Roman"/>
                <w:bCs/>
                <w:snapToGrid w:val="0"/>
                <w:color w:val="000000"/>
                <w:kern w:val="0"/>
                <w:sz w:val="24"/>
                <w:szCs w:val="24"/>
                <w:highlight w:val="none"/>
                <w:lang w:val="en-US" w:eastAsia="zh-CN" w:bidi="ar-SA"/>
              </w:rPr>
              <w:t>）</w:t>
            </w:r>
            <w:r>
              <w:rPr>
                <w:rFonts w:hint="default" w:ascii="Times New Roman" w:hAnsi="Times New Roman" w:eastAsia="宋体" w:cs="Times New Roman"/>
                <w:bCs/>
                <w:snapToGrid w:val="0"/>
                <w:color w:val="000000"/>
                <w:kern w:val="0"/>
                <w:sz w:val="24"/>
                <w:szCs w:val="24"/>
                <w:highlight w:val="none"/>
                <w:lang w:val="en-US" w:eastAsia="zh-CN" w:bidi="ar-SA"/>
              </w:rPr>
              <w:t>。</w:t>
            </w:r>
            <w:r>
              <w:rPr>
                <w:rFonts w:hint="default" w:ascii="Times New Roman" w:hAnsi="Times New Roman" w:eastAsia="宋体" w:cs="Times New Roman"/>
                <w:color w:val="auto"/>
                <w:sz w:val="24"/>
                <w:szCs w:val="24"/>
                <w:lang w:val="en-US" w:eastAsia="zh-CN"/>
              </w:rPr>
              <w:t>生产用水（主要为矿山开采抑尘用水、切割用水）取自厂界周围的人工筑堰塘，生活用水取自来水管网和购买桶装纯净水。</w:t>
            </w:r>
          </w:p>
          <w:p w14:paraId="7C2AA2EF">
            <w:pPr>
              <w:pStyle w:val="23"/>
              <w:keepNext w:val="0"/>
              <w:keepLines w:val="0"/>
              <w:pageBreakBefore w:val="0"/>
              <w:widowControl w:val="0"/>
              <w:tabs>
                <w:tab w:val="left" w:pos="1273"/>
              </w:tabs>
              <w:kinsoku/>
              <w:wordWrap/>
              <w:overflowPunct/>
              <w:topLinePunct w:val="0"/>
              <w:autoSpaceDE w:val="0"/>
              <w:autoSpaceDN w:val="0"/>
              <w:bidi w:val="0"/>
              <w:adjustRightInd/>
              <w:snapToGrid/>
              <w:spacing w:before="0" w:line="360" w:lineRule="auto"/>
              <w:ind w:firstLine="480" w:firstLineChars="200"/>
              <w:jc w:val="both"/>
              <w:textAlignment w:val="auto"/>
              <w:rPr>
                <w:rFonts w:hint="default" w:ascii="Times New Roman" w:hAnsi="Times New Roman" w:eastAsia="宋体" w:cs="Times New Roman"/>
                <w:b/>
                <w:bCs/>
                <w:color w:val="FF0000"/>
                <w:sz w:val="24"/>
                <w:szCs w:val="22"/>
                <w:lang w:val="en-US" w:eastAsia="zh-CN" w:bidi="zh-CN"/>
              </w:rPr>
            </w:pPr>
            <w:r>
              <w:rPr>
                <w:rFonts w:hint="default" w:ascii="Times New Roman" w:hAnsi="Times New Roman" w:eastAsia="宋体" w:cs="Times New Roman"/>
                <w:sz w:val="24"/>
              </w:rPr>
              <w:t>本项目对于生产用水水质要求不高，</w:t>
            </w:r>
            <w:r>
              <w:rPr>
                <w:rFonts w:hint="eastAsia" w:cs="Times New Roman"/>
                <w:sz w:val="24"/>
                <w:lang w:val="en-US" w:eastAsia="zh-CN"/>
              </w:rPr>
              <w:t>生产</w:t>
            </w:r>
            <w:r>
              <w:rPr>
                <w:rFonts w:hint="default" w:ascii="Times New Roman" w:hAnsi="Times New Roman" w:cs="Times New Roman"/>
                <w:snapToGrid w:val="0"/>
                <w:color w:val="000000"/>
                <w:sz w:val="24"/>
                <w:szCs w:val="24"/>
                <w:lang w:val="zh-CN"/>
              </w:rPr>
              <w:t>废水进入废水处理系统处理后</w:t>
            </w:r>
            <w:r>
              <w:rPr>
                <w:rFonts w:hint="eastAsia" w:cs="Times New Roman"/>
                <w:snapToGrid w:val="0"/>
                <w:color w:val="000000"/>
                <w:sz w:val="24"/>
                <w:szCs w:val="24"/>
                <w:lang w:val="en-US" w:eastAsia="zh-CN"/>
              </w:rPr>
              <w:t>用</w:t>
            </w:r>
            <w:r>
              <w:rPr>
                <w:rFonts w:hint="default" w:ascii="Times New Roman" w:hAnsi="Times New Roman" w:cs="Times New Roman"/>
                <w:snapToGrid w:val="0"/>
                <w:color w:val="000000"/>
                <w:sz w:val="24"/>
                <w:szCs w:val="24"/>
                <w:lang w:val="zh-CN"/>
              </w:rPr>
              <w:t>水池暂存，回用于各用水工序。</w:t>
            </w:r>
          </w:p>
          <w:p w14:paraId="3C7ED7E0">
            <w:pPr>
              <w:pStyle w:val="22"/>
              <w:keepNext w:val="0"/>
              <w:keepLines w:val="0"/>
              <w:pageBreakBefore w:val="0"/>
              <w:widowControl w:val="0"/>
              <w:kinsoku/>
              <w:wordWrap/>
              <w:overflowPunct/>
              <w:topLinePunct w:val="0"/>
              <w:autoSpaceDE/>
              <w:autoSpaceDN/>
              <w:bidi w:val="0"/>
              <w:adjustRightInd/>
              <w:snapToGrid/>
              <w:spacing w:after="0"/>
              <w:ind w:right="0"/>
              <w:jc w:val="both"/>
              <w:textAlignment w:val="auto"/>
              <w:rPr>
                <w:rFonts w:hint="default" w:ascii="Times New Roman" w:hAnsi="Times New Roman" w:eastAsia="宋体" w:cs="Times New Roman"/>
                <w:b/>
                <w:bCs w:val="0"/>
                <w:sz w:val="24"/>
                <w:szCs w:val="24"/>
                <w:highlight w:val="none"/>
                <w:lang w:val="en-US" w:eastAsia="zh-CN"/>
              </w:rPr>
            </w:pPr>
            <w:r>
              <w:rPr>
                <w:rFonts w:hint="default" w:ascii="Times New Roman" w:hAnsi="Times New Roman" w:eastAsia="宋体" w:cs="Times New Roman"/>
                <w:b/>
                <w:bCs w:val="0"/>
                <w:sz w:val="24"/>
                <w:szCs w:val="24"/>
                <w:highlight w:val="none"/>
                <w:lang w:val="en-US" w:eastAsia="zh-CN"/>
              </w:rPr>
              <w:t>生活用水</w:t>
            </w:r>
          </w:p>
          <w:p w14:paraId="046EF19E">
            <w:pPr>
              <w:keepNext w:val="0"/>
              <w:keepLines w:val="0"/>
              <w:pageBreakBefore w:val="0"/>
              <w:widowControl w:val="0"/>
              <w:kinsoku/>
              <w:wordWrap/>
              <w:overflowPunct/>
              <w:topLinePunct w:val="0"/>
              <w:autoSpaceDE/>
              <w:autoSpaceDN/>
              <w:bidi w:val="0"/>
              <w:adjustRightInd/>
              <w:snapToGrid w:val="0"/>
              <w:spacing w:after="0" w:line="360" w:lineRule="auto"/>
              <w:ind w:right="0"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fldChar w:fldCharType="begin"/>
            </w:r>
            <w:r>
              <w:rPr>
                <w:rFonts w:hint="default" w:ascii="Times New Roman" w:hAnsi="Times New Roman" w:eastAsia="宋体" w:cs="Times New Roman"/>
                <w:sz w:val="24"/>
                <w:szCs w:val="24"/>
                <w:highlight w:val="none"/>
                <w:lang w:eastAsia="zh-CN"/>
              </w:rPr>
              <w:instrText xml:space="preserve"> = 1 \* GB3 \* MERGEFORMAT </w:instrText>
            </w:r>
            <w:r>
              <w:rPr>
                <w:rFonts w:hint="default" w:ascii="Times New Roman" w:hAnsi="Times New Roman" w:eastAsia="宋体" w:cs="Times New Roman"/>
                <w:sz w:val="24"/>
                <w:szCs w:val="24"/>
                <w:highlight w:val="none"/>
                <w:lang w:eastAsia="zh-CN"/>
              </w:rPr>
              <w:fldChar w:fldCharType="separate"/>
            </w:r>
            <w:r>
              <w:rPr>
                <w:sz w:val="24"/>
                <w:szCs w:val="24"/>
                <w:highlight w:val="none"/>
              </w:rPr>
              <w:t>①</w:t>
            </w:r>
            <w:r>
              <w:rPr>
                <w:rFonts w:hint="default" w:ascii="Times New Roman" w:hAnsi="Times New Roman" w:eastAsia="宋体" w:cs="Times New Roman"/>
                <w:sz w:val="24"/>
                <w:szCs w:val="24"/>
                <w:highlight w:val="none"/>
                <w:lang w:eastAsia="zh-CN"/>
              </w:rPr>
              <w:fldChar w:fldCharType="end"/>
            </w:r>
            <w:r>
              <w:rPr>
                <w:rFonts w:hint="eastAsia" w:ascii="Times New Roman" w:hAnsi="Times New Roman" w:eastAsia="宋体" w:cs="Times New Roman"/>
                <w:sz w:val="24"/>
                <w:szCs w:val="24"/>
                <w:highlight w:val="none"/>
                <w:lang w:val="en-US" w:eastAsia="zh-CN"/>
              </w:rPr>
              <w:t>食堂用水</w:t>
            </w:r>
          </w:p>
          <w:p w14:paraId="12FC7023">
            <w:pPr>
              <w:keepNext w:val="0"/>
              <w:keepLines w:val="0"/>
              <w:pageBreakBefore w:val="0"/>
              <w:widowControl w:val="0"/>
              <w:kinsoku/>
              <w:wordWrap/>
              <w:overflowPunct/>
              <w:topLinePunct w:val="0"/>
              <w:autoSpaceDE/>
              <w:autoSpaceDN/>
              <w:bidi w:val="0"/>
              <w:adjustRightInd/>
              <w:snapToGrid w:val="0"/>
              <w:spacing w:after="0" w:line="360" w:lineRule="auto"/>
              <w:ind w:right="0"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本项目设置员工食堂，项目员工数为71人，</w:t>
            </w:r>
            <w:r>
              <w:rPr>
                <w:rFonts w:hint="eastAsia" w:ascii="Times New Roman" w:hAnsi="Times New Roman" w:eastAsia="宋体" w:cs="Times New Roman"/>
                <w:color w:val="000000"/>
                <w:sz w:val="24"/>
                <w:szCs w:val="24"/>
                <w:highlight w:val="none"/>
                <w:lang w:val="en-US" w:eastAsia="zh-CN"/>
              </w:rPr>
              <w:t>按60人</w:t>
            </w:r>
            <w:r>
              <w:rPr>
                <w:rFonts w:hint="default" w:ascii="Times New Roman" w:hAnsi="Times New Roman" w:eastAsia="宋体" w:cs="Times New Roman"/>
                <w:color w:val="000000"/>
                <w:sz w:val="24"/>
                <w:szCs w:val="24"/>
                <w:highlight w:val="none"/>
              </w:rPr>
              <w:t>在厂区</w:t>
            </w:r>
            <w:r>
              <w:rPr>
                <w:rFonts w:hint="default" w:ascii="Times New Roman" w:hAnsi="Times New Roman" w:eastAsia="宋体" w:cs="Times New Roman"/>
                <w:color w:val="000000"/>
                <w:sz w:val="24"/>
                <w:szCs w:val="24"/>
                <w:highlight w:val="none"/>
                <w:lang w:eastAsia="zh-CN"/>
              </w:rPr>
              <w:t>就餐</w:t>
            </w:r>
            <w:r>
              <w:rPr>
                <w:rFonts w:hint="eastAsia"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lang w:val="en-US" w:eastAsia="zh-CN"/>
              </w:rPr>
              <w:t>次</w:t>
            </w:r>
            <w:r>
              <w:rPr>
                <w:rFonts w:hint="default" w:ascii="Times New Roman" w:hAnsi="Times New Roman" w:eastAsia="宋体" w:cs="Times New Roman"/>
                <w:color w:val="000000"/>
                <w:sz w:val="24"/>
                <w:szCs w:val="24"/>
                <w:highlight w:val="none"/>
              </w:rPr>
              <w:t>/人·</w:t>
            </w:r>
            <w:r>
              <w:rPr>
                <w:rFonts w:hint="default" w:ascii="Times New Roman" w:hAnsi="Times New Roman" w:eastAsia="宋体" w:cs="Times New Roman"/>
                <w:color w:val="000000"/>
                <w:sz w:val="24"/>
                <w:szCs w:val="24"/>
                <w:highlight w:val="none"/>
                <w:lang w:eastAsia="zh-CN"/>
              </w:rPr>
              <w:t>日</w:t>
            </w:r>
            <w:r>
              <w:rPr>
                <w:rFonts w:hint="default" w:ascii="Times New Roman" w:hAnsi="Times New Roman" w:eastAsia="宋体" w:cs="Times New Roman"/>
                <w:color w:val="000000"/>
                <w:sz w:val="24"/>
                <w:szCs w:val="24"/>
                <w:highlight w:val="none"/>
              </w:rPr>
              <w:t>。根据《建筑给</w:t>
            </w:r>
            <w:r>
              <w:rPr>
                <w:rFonts w:hint="default" w:ascii="Times New Roman" w:hAnsi="Times New Roman" w:eastAsia="宋体" w:cs="Times New Roman"/>
                <w:color w:val="000000"/>
                <w:sz w:val="24"/>
                <w:szCs w:val="24"/>
                <w:highlight w:val="none"/>
                <w:lang w:eastAsia="zh-CN"/>
              </w:rPr>
              <w:t>水</w:t>
            </w:r>
            <w:r>
              <w:rPr>
                <w:rFonts w:hint="default" w:ascii="Times New Roman" w:hAnsi="Times New Roman" w:eastAsia="宋体" w:cs="Times New Roman"/>
                <w:color w:val="000000"/>
                <w:sz w:val="24"/>
                <w:szCs w:val="24"/>
                <w:highlight w:val="none"/>
              </w:rPr>
              <w:t>排水设计</w:t>
            </w:r>
            <w:r>
              <w:rPr>
                <w:rFonts w:hint="default" w:ascii="Times New Roman" w:hAnsi="Times New Roman" w:eastAsia="宋体" w:cs="Times New Roman"/>
                <w:color w:val="000000"/>
                <w:sz w:val="24"/>
                <w:szCs w:val="24"/>
                <w:highlight w:val="none"/>
                <w:lang w:eastAsia="zh-CN"/>
              </w:rPr>
              <w:t>标准</w:t>
            </w:r>
            <w:r>
              <w:rPr>
                <w:rFonts w:hint="default" w:ascii="Times New Roman" w:hAnsi="Times New Roman" w:eastAsia="宋体" w:cs="Times New Roman"/>
                <w:color w:val="000000"/>
                <w:sz w:val="24"/>
                <w:szCs w:val="24"/>
                <w:highlight w:val="none"/>
              </w:rPr>
              <w:t>》（GB50015—</w:t>
            </w:r>
            <w:r>
              <w:rPr>
                <w:rFonts w:hint="default" w:ascii="Times New Roman" w:hAnsi="Times New Roman" w:eastAsia="宋体" w:cs="Times New Roman"/>
                <w:color w:val="000000"/>
                <w:sz w:val="24"/>
                <w:szCs w:val="24"/>
                <w:highlight w:val="none"/>
                <w:lang w:val="en-US" w:eastAsia="zh-CN"/>
              </w:rPr>
              <w:t>2019</w:t>
            </w:r>
            <w:r>
              <w:rPr>
                <w:rFonts w:hint="default" w:ascii="Times New Roman" w:hAnsi="Times New Roman" w:eastAsia="宋体" w:cs="Times New Roman"/>
                <w:color w:val="000000"/>
                <w:sz w:val="24"/>
                <w:szCs w:val="24"/>
                <w:highlight w:val="none"/>
              </w:rPr>
              <w:t>版），用水标准为（</w:t>
            </w:r>
            <w:r>
              <w:rPr>
                <w:rFonts w:hint="default" w:ascii="Times New Roman" w:hAnsi="Times New Roman" w:eastAsia="宋体" w:cs="Times New Roman"/>
                <w:color w:val="000000"/>
                <w:sz w:val="24"/>
                <w:szCs w:val="24"/>
                <w:highlight w:val="none"/>
                <w:lang w:val="en-US" w:eastAsia="zh-CN"/>
              </w:rPr>
              <w:t>20</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25</w:t>
            </w:r>
            <w:r>
              <w:rPr>
                <w:rFonts w:hint="default" w:ascii="Times New Roman" w:hAnsi="Times New Roman" w:eastAsia="宋体" w:cs="Times New Roman"/>
                <w:color w:val="000000"/>
                <w:sz w:val="24"/>
                <w:szCs w:val="24"/>
                <w:highlight w:val="none"/>
              </w:rPr>
              <w:t>）L/人·次，本评价取最大值25L/人·次计算，食堂日接纳人次为</w:t>
            </w:r>
            <w:r>
              <w:rPr>
                <w:rFonts w:hint="eastAsia" w:ascii="Times New Roman" w:hAnsi="Times New Roman" w:eastAsia="宋体" w:cs="Times New Roman"/>
                <w:color w:val="000000"/>
                <w:sz w:val="24"/>
                <w:szCs w:val="24"/>
                <w:highlight w:val="none"/>
                <w:lang w:val="en-US" w:eastAsia="zh-CN"/>
              </w:rPr>
              <w:t>180</w:t>
            </w:r>
            <w:r>
              <w:rPr>
                <w:rFonts w:hint="default" w:ascii="Times New Roman" w:hAnsi="Times New Roman" w:eastAsia="宋体" w:cs="Times New Roman"/>
                <w:color w:val="000000"/>
                <w:sz w:val="24"/>
                <w:szCs w:val="24"/>
                <w:highlight w:val="none"/>
              </w:rPr>
              <w:t>次，则食堂用水量为</w:t>
            </w:r>
            <w:r>
              <w:rPr>
                <w:rFonts w:hint="eastAsia" w:ascii="Times New Roman" w:hAnsi="Times New Roman" w:eastAsia="宋体" w:cs="Times New Roman"/>
                <w:color w:val="000000"/>
                <w:sz w:val="24"/>
                <w:szCs w:val="24"/>
                <w:highlight w:val="none"/>
                <w:lang w:val="en-US" w:eastAsia="zh-CN"/>
              </w:rPr>
              <w:t>4.5</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/d，</w:t>
            </w:r>
            <w:r>
              <w:rPr>
                <w:rFonts w:hint="eastAsia" w:ascii="Times New Roman" w:hAnsi="Times New Roman" w:eastAsia="宋体" w:cs="Times New Roman"/>
                <w:color w:val="000000"/>
                <w:sz w:val="24"/>
                <w:szCs w:val="24"/>
                <w:highlight w:val="none"/>
                <w:lang w:val="en-US" w:eastAsia="zh-CN"/>
              </w:rPr>
              <w:t>1350</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/a，排水系数以85%计，则食堂排水量为</w:t>
            </w:r>
            <w:r>
              <w:rPr>
                <w:rFonts w:hint="eastAsia" w:ascii="Times New Roman" w:hAnsi="Times New Roman" w:eastAsia="宋体" w:cs="Times New Roman"/>
                <w:color w:val="000000"/>
                <w:sz w:val="24"/>
                <w:szCs w:val="24"/>
                <w:highlight w:val="none"/>
                <w:lang w:val="en-US" w:eastAsia="zh-CN"/>
              </w:rPr>
              <w:t>3.825</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/d，</w:t>
            </w:r>
            <w:r>
              <w:rPr>
                <w:rFonts w:hint="eastAsia" w:ascii="Times New Roman" w:hAnsi="Times New Roman" w:eastAsia="宋体" w:cs="Times New Roman"/>
                <w:color w:val="000000"/>
                <w:sz w:val="24"/>
                <w:szCs w:val="24"/>
                <w:highlight w:val="none"/>
                <w:lang w:val="en-US" w:eastAsia="zh-CN"/>
              </w:rPr>
              <w:t>1147.5</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/a。</w:t>
            </w:r>
          </w:p>
          <w:p w14:paraId="2D9CCC72">
            <w:pPr>
              <w:keepNext w:val="0"/>
              <w:keepLines w:val="0"/>
              <w:pageBreakBefore w:val="0"/>
              <w:widowControl w:val="0"/>
              <w:kinsoku/>
              <w:wordWrap/>
              <w:overflowPunct/>
              <w:topLinePunct w:val="0"/>
              <w:autoSpaceDE/>
              <w:autoSpaceDN/>
              <w:bidi w:val="0"/>
              <w:adjustRightInd/>
              <w:snapToGrid w:val="0"/>
              <w:spacing w:after="0" w:line="360" w:lineRule="auto"/>
              <w:ind w:right="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=2\*GB3\*MERGEFORMAT</w:instrText>
            </w:r>
            <w:r>
              <w:rPr>
                <w:rFonts w:hint="default" w:ascii="Times New Roman" w:hAnsi="Times New Roman" w:eastAsia="宋体" w:cs="Times New Roman"/>
                <w:sz w:val="24"/>
                <w:szCs w:val="24"/>
                <w:highlight w:val="none"/>
                <w:lang w:val="en-US" w:eastAsia="zh-CN"/>
              </w:rPr>
              <w:fldChar w:fldCharType="separate"/>
            </w:r>
            <w:r>
              <w:rPr>
                <w:sz w:val="24"/>
                <w:szCs w:val="24"/>
                <w:highlight w:val="none"/>
              </w:rPr>
              <w:t>②</w:t>
            </w:r>
            <w:r>
              <w:rPr>
                <w:rFonts w:hint="default" w:ascii="Times New Roman" w:hAnsi="Times New Roman" w:eastAsia="宋体" w:cs="Times New Roman"/>
                <w:sz w:val="24"/>
                <w:szCs w:val="24"/>
                <w:highlight w:val="none"/>
                <w:lang w:val="en-US" w:eastAsia="zh-CN"/>
              </w:rPr>
              <w:fldChar w:fldCharType="end"/>
            </w:r>
            <w:r>
              <w:rPr>
                <w:rFonts w:hint="eastAsia" w:ascii="Times New Roman" w:hAnsi="Times New Roman" w:eastAsia="宋体" w:cs="Times New Roman"/>
                <w:sz w:val="24"/>
                <w:szCs w:val="24"/>
                <w:highlight w:val="none"/>
                <w:lang w:val="en-US" w:eastAsia="zh-CN"/>
              </w:rPr>
              <w:t>办公生活用水</w:t>
            </w:r>
          </w:p>
          <w:p w14:paraId="05FA0913">
            <w:pPr>
              <w:keepNext w:val="0"/>
              <w:keepLines w:val="0"/>
              <w:pageBreakBefore w:val="0"/>
              <w:widowControl w:val="0"/>
              <w:kinsoku/>
              <w:wordWrap/>
              <w:overflowPunct/>
              <w:topLinePunct w:val="0"/>
              <w:autoSpaceDE/>
              <w:autoSpaceDN/>
              <w:bidi w:val="0"/>
              <w:adjustRightInd/>
              <w:snapToGrid w:val="0"/>
              <w:spacing w:after="0" w:line="360" w:lineRule="auto"/>
              <w:ind w:right="0"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办公</w:t>
            </w:r>
            <w:r>
              <w:rPr>
                <w:rFonts w:hint="default" w:ascii="Times New Roman" w:hAnsi="Times New Roman" w:eastAsia="宋体" w:cs="Times New Roman"/>
                <w:color w:val="000000"/>
                <w:sz w:val="24"/>
                <w:szCs w:val="24"/>
                <w:highlight w:val="none"/>
                <w:lang w:eastAsia="zh-CN"/>
              </w:rPr>
              <w:t>生活</w:t>
            </w:r>
            <w:r>
              <w:rPr>
                <w:rFonts w:hint="default" w:ascii="Times New Roman" w:hAnsi="Times New Roman" w:eastAsia="宋体" w:cs="Times New Roman"/>
                <w:color w:val="000000"/>
                <w:sz w:val="24"/>
                <w:szCs w:val="24"/>
                <w:highlight w:val="none"/>
              </w:rPr>
              <w:t>用水根据《建筑给</w:t>
            </w:r>
            <w:r>
              <w:rPr>
                <w:rFonts w:hint="default" w:ascii="Times New Roman" w:hAnsi="Times New Roman" w:eastAsia="宋体" w:cs="Times New Roman"/>
                <w:color w:val="000000"/>
                <w:sz w:val="24"/>
                <w:szCs w:val="24"/>
                <w:highlight w:val="none"/>
                <w:lang w:eastAsia="zh-CN"/>
              </w:rPr>
              <w:t>水</w:t>
            </w:r>
            <w:r>
              <w:rPr>
                <w:rFonts w:hint="default" w:ascii="Times New Roman" w:hAnsi="Times New Roman" w:eastAsia="宋体" w:cs="Times New Roman"/>
                <w:color w:val="000000"/>
                <w:sz w:val="24"/>
                <w:szCs w:val="24"/>
                <w:highlight w:val="none"/>
              </w:rPr>
              <w:t>排水设计</w:t>
            </w:r>
            <w:r>
              <w:rPr>
                <w:rFonts w:hint="default" w:ascii="Times New Roman" w:hAnsi="Times New Roman" w:eastAsia="宋体" w:cs="Times New Roman"/>
                <w:color w:val="000000"/>
                <w:sz w:val="24"/>
                <w:szCs w:val="24"/>
                <w:highlight w:val="none"/>
                <w:lang w:eastAsia="zh-CN"/>
              </w:rPr>
              <w:t>标准</w:t>
            </w:r>
            <w:r>
              <w:rPr>
                <w:rFonts w:hint="default" w:ascii="Times New Roman" w:hAnsi="Times New Roman" w:eastAsia="宋体" w:cs="Times New Roman"/>
                <w:color w:val="000000"/>
                <w:sz w:val="24"/>
                <w:szCs w:val="24"/>
                <w:highlight w:val="none"/>
              </w:rPr>
              <w:t>》（GB50015-</w:t>
            </w:r>
            <w:r>
              <w:rPr>
                <w:rFonts w:hint="default" w:ascii="Times New Roman" w:hAnsi="Times New Roman" w:eastAsia="宋体" w:cs="Times New Roman"/>
                <w:color w:val="000000"/>
                <w:sz w:val="24"/>
                <w:szCs w:val="24"/>
                <w:highlight w:val="none"/>
                <w:lang w:val="en-US" w:eastAsia="zh-CN"/>
              </w:rPr>
              <w:t>2019版</w:t>
            </w:r>
            <w:r>
              <w:rPr>
                <w:rFonts w:hint="default" w:ascii="Times New Roman" w:hAnsi="Times New Roman" w:eastAsia="宋体" w:cs="Times New Roman"/>
                <w:color w:val="000000"/>
                <w:sz w:val="24"/>
                <w:szCs w:val="24"/>
                <w:highlight w:val="none"/>
              </w:rPr>
              <w:t>）相关设计参数（</w:t>
            </w:r>
            <w:r>
              <w:rPr>
                <w:rFonts w:hint="default" w:ascii="Times New Roman" w:hAnsi="Times New Roman" w:eastAsia="宋体" w:cs="Times New Roman"/>
                <w:color w:val="000000"/>
                <w:sz w:val="24"/>
                <w:szCs w:val="24"/>
                <w:highlight w:val="none"/>
                <w:lang w:val="en-US" w:eastAsia="zh-CN"/>
              </w:rPr>
              <w:t>150</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200</w:t>
            </w:r>
            <w:r>
              <w:rPr>
                <w:rFonts w:hint="default" w:ascii="Times New Roman" w:hAnsi="Times New Roman" w:eastAsia="宋体" w:cs="Times New Roman"/>
                <w:color w:val="000000"/>
                <w:sz w:val="24"/>
                <w:szCs w:val="24"/>
                <w:highlight w:val="none"/>
              </w:rPr>
              <w:t>）L/人·日，本次评价取最大值</w:t>
            </w:r>
            <w:r>
              <w:rPr>
                <w:rFonts w:hint="default" w:ascii="Times New Roman" w:hAnsi="Times New Roman" w:eastAsia="宋体" w:cs="Times New Roman"/>
                <w:color w:val="000000"/>
                <w:sz w:val="24"/>
                <w:szCs w:val="24"/>
                <w:highlight w:val="none"/>
                <w:lang w:val="en-US" w:eastAsia="zh-CN"/>
              </w:rPr>
              <w:t>200</w:t>
            </w:r>
            <w:r>
              <w:rPr>
                <w:rFonts w:hint="default" w:ascii="Times New Roman" w:hAnsi="Times New Roman" w:eastAsia="宋体" w:cs="Times New Roman"/>
                <w:color w:val="000000"/>
                <w:sz w:val="24"/>
                <w:szCs w:val="24"/>
                <w:highlight w:val="none"/>
              </w:rPr>
              <w:t>L/人·日计算，则项目</w:t>
            </w:r>
            <w:r>
              <w:rPr>
                <w:rFonts w:hint="eastAsia" w:ascii="Times New Roman" w:hAnsi="Times New Roman" w:eastAsia="宋体" w:cs="Times New Roman"/>
                <w:color w:val="000000"/>
                <w:sz w:val="24"/>
                <w:szCs w:val="24"/>
                <w:highlight w:val="none"/>
                <w:lang w:val="en-US" w:eastAsia="zh-CN"/>
              </w:rPr>
              <w:t>按60人</w:t>
            </w:r>
            <w:r>
              <w:rPr>
                <w:rFonts w:hint="default" w:ascii="Times New Roman" w:hAnsi="Times New Roman" w:eastAsia="宋体" w:cs="Times New Roman"/>
                <w:color w:val="000000"/>
                <w:sz w:val="24"/>
                <w:szCs w:val="24"/>
                <w:highlight w:val="none"/>
              </w:rPr>
              <w:t>日用水量约为</w:t>
            </w:r>
            <w:r>
              <w:rPr>
                <w:rFonts w:hint="eastAsia" w:ascii="Times New Roman" w:hAnsi="Times New Roman" w:eastAsia="宋体" w:cs="Times New Roman"/>
                <w:color w:val="000000"/>
                <w:sz w:val="24"/>
                <w:szCs w:val="24"/>
                <w:highlight w:val="none"/>
                <w:lang w:val="en-US" w:eastAsia="zh-CN"/>
              </w:rPr>
              <w:t>12</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，年工作按300天计，年用水量约为</w:t>
            </w:r>
            <w:r>
              <w:rPr>
                <w:rFonts w:hint="eastAsia" w:ascii="Times New Roman" w:hAnsi="Times New Roman" w:eastAsia="宋体" w:cs="Times New Roman"/>
                <w:color w:val="000000"/>
                <w:sz w:val="24"/>
                <w:szCs w:val="24"/>
                <w:highlight w:val="none"/>
                <w:lang w:val="en-US" w:eastAsia="zh-CN"/>
              </w:rPr>
              <w:t>3600</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，排水系数以85%计，则办公生活排水量为</w:t>
            </w:r>
            <w:r>
              <w:rPr>
                <w:rFonts w:hint="eastAsia" w:ascii="Times New Roman" w:hAnsi="Times New Roman" w:eastAsia="宋体" w:cs="Times New Roman"/>
                <w:color w:val="000000"/>
                <w:sz w:val="24"/>
                <w:szCs w:val="24"/>
                <w:highlight w:val="none"/>
                <w:lang w:val="en-US" w:eastAsia="zh-CN"/>
              </w:rPr>
              <w:t>10.2</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/d，即</w:t>
            </w:r>
            <w:r>
              <w:rPr>
                <w:rFonts w:hint="eastAsia" w:ascii="Times New Roman" w:hAnsi="Times New Roman" w:eastAsia="宋体" w:cs="Times New Roman"/>
                <w:color w:val="000000"/>
                <w:sz w:val="24"/>
                <w:szCs w:val="24"/>
                <w:highlight w:val="none"/>
                <w:lang w:val="en-US" w:eastAsia="zh-CN"/>
              </w:rPr>
              <w:t>3060</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/a。</w:t>
            </w:r>
          </w:p>
          <w:p w14:paraId="1F6DCC03">
            <w:pPr>
              <w:keepNext w:val="0"/>
              <w:keepLines w:val="0"/>
              <w:pageBreakBefore w:val="0"/>
              <w:widowControl w:val="0"/>
              <w:kinsoku/>
              <w:wordWrap/>
              <w:overflowPunct/>
              <w:topLinePunct w:val="0"/>
              <w:autoSpaceDE/>
              <w:autoSpaceDN/>
              <w:bidi w:val="0"/>
              <w:adjustRightInd/>
              <w:snapToGrid w:val="0"/>
              <w:spacing w:after="0" w:line="360" w:lineRule="auto"/>
              <w:ind w:right="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综上，项目生活新鲜水用水量为16.5</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d（4950</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/a</w:t>
            </w:r>
            <w:r>
              <w:rPr>
                <w:rFonts w:hint="eastAsia"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排水量为14.025</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d</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4207.5</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/a</w:t>
            </w:r>
            <w:r>
              <w:rPr>
                <w:rFonts w:hint="eastAsia" w:ascii="Times New Roman" w:hAnsi="Times New Roman" w:eastAsia="宋体" w:cs="Times New Roman"/>
                <w:color w:val="000000"/>
                <w:sz w:val="24"/>
                <w:szCs w:val="24"/>
                <w:highlight w:val="none"/>
                <w:lang w:eastAsia="zh-CN"/>
              </w:rPr>
              <w:t>）。</w:t>
            </w:r>
          </w:p>
          <w:p w14:paraId="0634F77B">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Chars="200" w:right="0" w:rightChars="0"/>
              <w:jc w:val="both"/>
              <w:textAlignment w:val="auto"/>
              <w:rPr>
                <w:rFonts w:hint="default" w:ascii="Times New Roman" w:hAnsi="Times New Roman" w:eastAsia="宋体" w:cs="Times New Roman"/>
                <w:b/>
                <w:bCs w:val="0"/>
                <w:snapToGrid w:val="0"/>
                <w:kern w:val="0"/>
                <w:sz w:val="24"/>
                <w:szCs w:val="24"/>
                <w:highlight w:val="none"/>
                <w:lang w:val="en-US" w:eastAsia="zh-CN" w:bidi="ar-SA"/>
              </w:rPr>
            </w:pPr>
            <w:r>
              <w:rPr>
                <w:rFonts w:hint="default" w:ascii="Times New Roman" w:hAnsi="Times New Roman" w:eastAsia="宋体" w:cs="Times New Roman"/>
                <w:b/>
                <w:bCs w:val="0"/>
                <w:snapToGrid w:val="0"/>
                <w:kern w:val="0"/>
                <w:sz w:val="24"/>
                <w:szCs w:val="24"/>
                <w:highlight w:val="none"/>
                <w:lang w:val="en-US" w:eastAsia="zh-CN" w:bidi="ar-SA"/>
              </w:rPr>
              <w:t>生产用水</w:t>
            </w:r>
          </w:p>
          <w:p w14:paraId="3E061EA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rFonts w:hint="default" w:ascii="Times New Roman" w:hAnsi="Times New Roman" w:eastAsia="宋体" w:cs="Times New Roman"/>
                <w:bCs/>
                <w:snapToGrid w:val="0"/>
                <w:kern w:val="0"/>
                <w:sz w:val="24"/>
                <w:szCs w:val="24"/>
                <w:highlight w:val="none"/>
                <w:lang w:val="en-US" w:eastAsia="zh-CN" w:bidi="ar-SA"/>
              </w:rPr>
            </w:pPr>
            <w:r>
              <w:rPr>
                <w:rFonts w:hint="default" w:ascii="Times New Roman" w:hAnsi="Times New Roman" w:eastAsia="宋体" w:cs="Times New Roman"/>
                <w:bCs/>
                <w:snapToGrid w:val="0"/>
                <w:kern w:val="0"/>
                <w:sz w:val="24"/>
                <w:szCs w:val="24"/>
                <w:highlight w:val="none"/>
                <w:lang w:val="en-US" w:eastAsia="zh-CN" w:bidi="ar-SA"/>
              </w:rPr>
              <w:fldChar w:fldCharType="begin"/>
            </w:r>
            <w:r>
              <w:rPr>
                <w:rFonts w:hint="default" w:ascii="Times New Roman" w:hAnsi="Times New Roman" w:eastAsia="宋体" w:cs="Times New Roman"/>
                <w:bCs/>
                <w:snapToGrid w:val="0"/>
                <w:kern w:val="0"/>
                <w:sz w:val="24"/>
                <w:szCs w:val="24"/>
                <w:highlight w:val="none"/>
                <w:lang w:val="en-US" w:eastAsia="zh-CN" w:bidi="ar-SA"/>
              </w:rPr>
              <w:instrText xml:space="preserve">=1\*GB3\*MERGEFORMAT</w:instrText>
            </w:r>
            <w:r>
              <w:rPr>
                <w:rFonts w:hint="default" w:ascii="Times New Roman" w:hAnsi="Times New Roman" w:eastAsia="宋体" w:cs="Times New Roman"/>
                <w:bCs/>
                <w:snapToGrid w:val="0"/>
                <w:kern w:val="0"/>
                <w:sz w:val="24"/>
                <w:szCs w:val="24"/>
                <w:highlight w:val="none"/>
                <w:lang w:val="en-US" w:eastAsia="zh-CN" w:bidi="ar-SA"/>
              </w:rPr>
              <w:fldChar w:fldCharType="separate"/>
            </w:r>
            <w:r>
              <w:rPr>
                <w:rFonts w:hint="default" w:ascii="Times New Roman" w:hAnsi="Times New Roman" w:eastAsia="宋体" w:cs="Times New Roman"/>
                <w:bCs/>
                <w:snapToGrid w:val="0"/>
                <w:kern w:val="0"/>
                <w:sz w:val="24"/>
                <w:szCs w:val="24"/>
                <w:highlight w:val="none"/>
                <w:lang w:val="en-US" w:eastAsia="zh-CN" w:bidi="ar-SA"/>
              </w:rPr>
              <w:t>①</w:t>
            </w:r>
            <w:r>
              <w:rPr>
                <w:rFonts w:hint="default" w:ascii="Times New Roman" w:hAnsi="Times New Roman" w:eastAsia="宋体" w:cs="Times New Roman"/>
                <w:bCs/>
                <w:snapToGrid w:val="0"/>
                <w:kern w:val="0"/>
                <w:sz w:val="24"/>
                <w:szCs w:val="24"/>
                <w:highlight w:val="none"/>
                <w:lang w:val="en-US" w:eastAsia="zh-CN" w:bidi="ar-SA"/>
              </w:rPr>
              <w:fldChar w:fldCharType="end"/>
            </w:r>
            <w:r>
              <w:rPr>
                <w:rFonts w:hint="default" w:ascii="Times New Roman" w:hAnsi="Times New Roman" w:eastAsia="宋体" w:cs="Times New Roman"/>
                <w:bCs/>
                <w:snapToGrid w:val="0"/>
                <w:kern w:val="0"/>
                <w:sz w:val="24"/>
                <w:szCs w:val="24"/>
                <w:highlight w:val="none"/>
                <w:lang w:val="en-US" w:eastAsia="zh-CN" w:bidi="ar-SA"/>
              </w:rPr>
              <w:t>切割</w:t>
            </w:r>
            <w:r>
              <w:rPr>
                <w:rFonts w:hint="eastAsia" w:ascii="Times New Roman" w:hAnsi="Times New Roman" w:eastAsia="宋体" w:cs="Times New Roman"/>
                <w:bCs/>
                <w:snapToGrid w:val="0"/>
                <w:kern w:val="0"/>
                <w:sz w:val="24"/>
                <w:szCs w:val="24"/>
                <w:highlight w:val="none"/>
                <w:lang w:val="en-US" w:eastAsia="zh-CN" w:bidi="ar-SA"/>
              </w:rPr>
              <w:t>分离</w:t>
            </w:r>
            <w:r>
              <w:rPr>
                <w:rFonts w:hint="default" w:ascii="Times New Roman" w:hAnsi="Times New Roman" w:eastAsia="宋体" w:cs="Times New Roman"/>
                <w:bCs/>
                <w:snapToGrid w:val="0"/>
                <w:kern w:val="0"/>
                <w:sz w:val="24"/>
                <w:szCs w:val="24"/>
                <w:highlight w:val="none"/>
                <w:lang w:val="en-US" w:eastAsia="zh-CN" w:bidi="ar-SA"/>
              </w:rPr>
              <w:t>用水</w:t>
            </w:r>
          </w:p>
          <w:p w14:paraId="75E0F440">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snapToGrid w:val="0"/>
                <w:kern w:val="0"/>
                <w:sz w:val="24"/>
                <w:szCs w:val="24"/>
                <w:highlight w:val="none"/>
                <w:lang w:val="en-US" w:eastAsia="zh-CN" w:bidi="ar-SA"/>
              </w:rPr>
            </w:pPr>
            <w:r>
              <w:rPr>
                <w:rFonts w:hint="eastAsia" w:ascii="Times New Roman" w:hAnsi="Times New Roman" w:eastAsia="宋体" w:cs="Times New Roman"/>
                <w:bCs/>
                <w:snapToGrid w:val="0"/>
                <w:kern w:val="0"/>
                <w:sz w:val="24"/>
                <w:szCs w:val="24"/>
                <w:highlight w:val="none"/>
                <w:lang w:val="en-US" w:eastAsia="zh-CN" w:bidi="ar-SA"/>
              </w:rPr>
              <w:t>根据《湖北省麻城市白鸭山矿区</w:t>
            </w:r>
            <w:r>
              <w:rPr>
                <w:rFonts w:hint="eastAsia" w:cs="Times New Roman"/>
                <w:bCs/>
                <w:snapToGrid w:val="0"/>
                <w:kern w:val="0"/>
                <w:sz w:val="24"/>
                <w:szCs w:val="24"/>
                <w:highlight w:val="none"/>
                <w:lang w:val="en-US" w:eastAsia="zh-CN" w:bidi="ar-SA"/>
              </w:rPr>
              <w:t>C8区块</w:t>
            </w:r>
            <w:r>
              <w:rPr>
                <w:rFonts w:hint="eastAsia" w:ascii="Times New Roman" w:hAnsi="Times New Roman" w:eastAsia="宋体" w:cs="Times New Roman"/>
                <w:bCs/>
                <w:snapToGrid w:val="0"/>
                <w:kern w:val="0"/>
                <w:sz w:val="24"/>
                <w:szCs w:val="24"/>
                <w:highlight w:val="none"/>
                <w:lang w:val="en-US" w:eastAsia="zh-CN" w:bidi="ar-SA"/>
              </w:rPr>
              <w:t>饰面用花岗岩矿矿产资源开发利用与生态复绿方案》和《天然饰面板材加工废水处理工程技术规范》（</w:t>
            </w:r>
            <w:r>
              <w:rPr>
                <w:rFonts w:hint="default" w:ascii="Times New Roman" w:hAnsi="Times New Roman" w:eastAsia="宋体" w:cs="Times New Roman"/>
                <w:bCs/>
                <w:snapToGrid w:val="0"/>
                <w:kern w:val="0"/>
                <w:sz w:val="24"/>
                <w:szCs w:val="24"/>
                <w:highlight w:val="none"/>
                <w:lang w:val="en-US" w:eastAsia="zh-CN" w:bidi="ar-SA"/>
              </w:rPr>
              <w:t>DB35/T1099-2011</w:t>
            </w:r>
            <w:r>
              <w:rPr>
                <w:rFonts w:hint="eastAsia" w:ascii="Times New Roman" w:hAnsi="Times New Roman" w:eastAsia="宋体" w:cs="Times New Roman"/>
                <w:bCs/>
                <w:snapToGrid w:val="0"/>
                <w:kern w:val="0"/>
                <w:sz w:val="24"/>
                <w:szCs w:val="24"/>
                <w:highlight w:val="none"/>
                <w:lang w:val="en-US" w:eastAsia="zh-CN" w:bidi="ar-SA"/>
              </w:rPr>
              <w:t>）可知，天然饰面板材（花岗岩石类）加工废水水量情况，见下表：</w:t>
            </w:r>
          </w:p>
          <w:p w14:paraId="65BB50F3">
            <w:pPr>
              <w:keepNext w:val="0"/>
              <w:keepLines w:val="0"/>
              <w:pageBreakBefore w:val="0"/>
              <w:widowControl w:val="0"/>
              <w:suppressLineNumbers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snapToGrid w:val="0"/>
                <w:kern w:val="0"/>
                <w:sz w:val="24"/>
                <w:szCs w:val="24"/>
                <w:highlight w:val="none"/>
                <w:lang w:val="en-US" w:eastAsia="zh-CN" w:bidi="ar-SA"/>
              </w:rPr>
            </w:pPr>
            <w:r>
              <w:rPr>
                <w:rFonts w:hint="eastAsia" w:ascii="Times New Roman" w:hAnsi="Times New Roman" w:eastAsia="宋体" w:cs="Times New Roman"/>
                <w:b/>
                <w:bCs w:val="0"/>
                <w:snapToGrid w:val="0"/>
                <w:kern w:val="0"/>
                <w:sz w:val="24"/>
                <w:szCs w:val="24"/>
                <w:highlight w:val="none"/>
                <w:lang w:val="en-US" w:eastAsia="zh-CN" w:bidi="ar-SA"/>
              </w:rPr>
              <w:t>表</w:t>
            </w:r>
            <w:r>
              <w:rPr>
                <w:rFonts w:hint="eastAsia" w:cs="Times New Roman"/>
                <w:b/>
                <w:bCs w:val="0"/>
                <w:snapToGrid w:val="0"/>
                <w:kern w:val="0"/>
                <w:sz w:val="24"/>
                <w:szCs w:val="24"/>
                <w:highlight w:val="none"/>
                <w:lang w:val="en-US" w:eastAsia="zh-CN" w:bidi="ar-SA"/>
              </w:rPr>
              <w:t>4-6</w:t>
            </w:r>
            <w:r>
              <w:rPr>
                <w:rFonts w:hint="eastAsia" w:ascii="Times New Roman" w:hAnsi="Times New Roman" w:eastAsia="宋体" w:cs="Times New Roman"/>
                <w:b/>
                <w:bCs w:val="0"/>
                <w:snapToGrid w:val="0"/>
                <w:kern w:val="0"/>
                <w:sz w:val="24"/>
                <w:szCs w:val="24"/>
                <w:highlight w:val="none"/>
                <w:lang w:val="en-US" w:eastAsia="zh-CN" w:bidi="ar-SA"/>
              </w:rPr>
              <w:t xml:space="preserve">  天然饰面板材（花岗岩石类）加工废水水量情况</w:t>
            </w:r>
          </w:p>
          <w:tbl>
            <w:tblPr>
              <w:tblStyle w:val="18"/>
              <w:tblW w:w="484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22"/>
              <w:gridCol w:w="2227"/>
              <w:gridCol w:w="2225"/>
              <w:gridCol w:w="2232"/>
            </w:tblGrid>
            <w:tr w14:paraId="333965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48" w:type="pct"/>
                  <w:tcBorders>
                    <w:top w:val="single" w:color="auto" w:sz="12" w:space="0"/>
                    <w:bottom w:val="single" w:color="auto" w:sz="12" w:space="0"/>
                  </w:tcBorders>
                  <w:noWrap w:val="0"/>
                  <w:vAlign w:val="center"/>
                </w:tcPr>
                <w:p w14:paraId="0AE8C91A">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snapToGrid w:val="0"/>
                      <w:kern w:val="0"/>
                      <w:sz w:val="18"/>
                      <w:szCs w:val="18"/>
                      <w:highlight w:val="none"/>
                      <w:lang w:val="en-US" w:eastAsia="zh-CN" w:bidi="ar-SA"/>
                    </w:rPr>
                  </w:pPr>
                  <w:r>
                    <w:rPr>
                      <w:rFonts w:hint="default" w:ascii="Times New Roman" w:hAnsi="Times New Roman" w:eastAsia="宋体" w:cs="Times New Roman"/>
                      <w:bCs/>
                      <w:snapToGrid w:val="0"/>
                      <w:kern w:val="0"/>
                      <w:sz w:val="18"/>
                      <w:szCs w:val="18"/>
                      <w:highlight w:val="none"/>
                      <w:lang w:val="en-US" w:eastAsia="zh-CN" w:bidi="ar-SA"/>
                    </w:rPr>
                    <w:t>废水种类</w:t>
                  </w:r>
                </w:p>
              </w:tc>
              <w:tc>
                <w:tcPr>
                  <w:tcW w:w="1250" w:type="pct"/>
                  <w:tcBorders>
                    <w:top w:val="single" w:color="auto" w:sz="12" w:space="0"/>
                    <w:bottom w:val="single" w:color="auto" w:sz="12" w:space="0"/>
                  </w:tcBorders>
                  <w:noWrap w:val="0"/>
                  <w:vAlign w:val="center"/>
                </w:tcPr>
                <w:p w14:paraId="5D701AB5">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snapToGrid w:val="0"/>
                      <w:kern w:val="0"/>
                      <w:sz w:val="18"/>
                      <w:szCs w:val="18"/>
                      <w:highlight w:val="none"/>
                      <w:lang w:val="en-US" w:eastAsia="zh-CN" w:bidi="ar-SA"/>
                    </w:rPr>
                  </w:pPr>
                  <w:r>
                    <w:rPr>
                      <w:rFonts w:hint="default" w:ascii="Times New Roman" w:hAnsi="Times New Roman" w:eastAsia="宋体" w:cs="Times New Roman"/>
                      <w:bCs/>
                      <w:snapToGrid w:val="0"/>
                      <w:kern w:val="0"/>
                      <w:sz w:val="18"/>
                      <w:szCs w:val="18"/>
                      <w:highlight w:val="none"/>
                      <w:lang w:val="en-US" w:eastAsia="zh-CN" w:bidi="ar-SA"/>
                    </w:rPr>
                    <w:t>锯机（10大片）废水</w:t>
                  </w:r>
                </w:p>
              </w:tc>
              <w:tc>
                <w:tcPr>
                  <w:tcW w:w="1249" w:type="pct"/>
                  <w:tcBorders>
                    <w:top w:val="single" w:color="auto" w:sz="12" w:space="0"/>
                    <w:bottom w:val="single" w:color="auto" w:sz="12" w:space="0"/>
                  </w:tcBorders>
                  <w:noWrap w:val="0"/>
                  <w:vAlign w:val="center"/>
                </w:tcPr>
                <w:p w14:paraId="551E154C">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snapToGrid w:val="0"/>
                      <w:kern w:val="0"/>
                      <w:sz w:val="18"/>
                      <w:szCs w:val="18"/>
                      <w:highlight w:val="none"/>
                      <w:lang w:val="en-US" w:eastAsia="zh-CN" w:bidi="ar-SA"/>
                    </w:rPr>
                  </w:pPr>
                  <w:r>
                    <w:rPr>
                      <w:rFonts w:hint="default" w:ascii="Times New Roman" w:hAnsi="Times New Roman" w:eastAsia="宋体" w:cs="Times New Roman"/>
                      <w:bCs/>
                      <w:snapToGrid w:val="0"/>
                      <w:kern w:val="0"/>
                      <w:sz w:val="18"/>
                      <w:szCs w:val="18"/>
                      <w:highlight w:val="none"/>
                      <w:lang w:val="en-US" w:eastAsia="zh-CN" w:bidi="ar-SA"/>
                    </w:rPr>
                    <w:t>切边机废水</w:t>
                  </w:r>
                </w:p>
              </w:tc>
              <w:tc>
                <w:tcPr>
                  <w:tcW w:w="1252" w:type="pct"/>
                  <w:tcBorders>
                    <w:top w:val="single" w:color="auto" w:sz="12" w:space="0"/>
                    <w:bottom w:val="single" w:color="auto" w:sz="12" w:space="0"/>
                  </w:tcBorders>
                  <w:noWrap w:val="0"/>
                  <w:vAlign w:val="center"/>
                </w:tcPr>
                <w:p w14:paraId="566B3B48">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snapToGrid w:val="0"/>
                      <w:kern w:val="0"/>
                      <w:sz w:val="18"/>
                      <w:szCs w:val="18"/>
                      <w:highlight w:val="none"/>
                      <w:lang w:val="en-US" w:eastAsia="zh-CN" w:bidi="ar-SA"/>
                    </w:rPr>
                  </w:pPr>
                  <w:r>
                    <w:rPr>
                      <w:rFonts w:hint="default" w:ascii="Times New Roman" w:hAnsi="Times New Roman" w:eastAsia="宋体" w:cs="Times New Roman"/>
                      <w:bCs/>
                      <w:snapToGrid w:val="0"/>
                      <w:kern w:val="0"/>
                      <w:sz w:val="18"/>
                      <w:szCs w:val="18"/>
                      <w:highlight w:val="none"/>
                      <w:lang w:val="en-US" w:eastAsia="zh-CN" w:bidi="ar-SA"/>
                    </w:rPr>
                    <w:t>磨机废水</w:t>
                  </w:r>
                </w:p>
              </w:tc>
            </w:tr>
            <w:tr w14:paraId="3E0020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48" w:type="pct"/>
                  <w:tcBorders>
                    <w:top w:val="single" w:color="auto" w:sz="12" w:space="0"/>
                  </w:tcBorders>
                  <w:noWrap w:val="0"/>
                  <w:vAlign w:val="center"/>
                </w:tcPr>
                <w:p w14:paraId="256E9B27">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snapToGrid w:val="0"/>
                      <w:kern w:val="0"/>
                      <w:sz w:val="18"/>
                      <w:szCs w:val="18"/>
                      <w:highlight w:val="none"/>
                      <w:lang w:val="en-US" w:eastAsia="zh-CN" w:bidi="ar-SA"/>
                    </w:rPr>
                  </w:pPr>
                  <w:r>
                    <w:rPr>
                      <w:rFonts w:hint="default" w:ascii="Times New Roman" w:hAnsi="Times New Roman" w:eastAsia="宋体" w:cs="Times New Roman"/>
                      <w:bCs/>
                      <w:snapToGrid w:val="0"/>
                      <w:kern w:val="0"/>
                      <w:sz w:val="18"/>
                      <w:szCs w:val="18"/>
                      <w:highlight w:val="none"/>
                      <w:lang w:val="en-US" w:eastAsia="zh-CN" w:bidi="ar-SA"/>
                    </w:rPr>
                    <w:t>废水量（m</w:t>
                  </w:r>
                  <w:r>
                    <w:rPr>
                      <w:rFonts w:hint="default" w:ascii="Times New Roman" w:hAnsi="Times New Roman" w:eastAsia="宋体" w:cs="Times New Roman"/>
                      <w:bCs/>
                      <w:snapToGrid w:val="0"/>
                      <w:kern w:val="0"/>
                      <w:sz w:val="18"/>
                      <w:szCs w:val="18"/>
                      <w:highlight w:val="none"/>
                      <w:vertAlign w:val="superscript"/>
                      <w:lang w:val="en-US" w:eastAsia="zh-CN" w:bidi="ar-SA"/>
                    </w:rPr>
                    <w:t>3</w:t>
                  </w:r>
                  <w:r>
                    <w:rPr>
                      <w:rFonts w:hint="default" w:ascii="Times New Roman" w:hAnsi="Times New Roman" w:eastAsia="宋体" w:cs="Times New Roman"/>
                      <w:bCs/>
                      <w:snapToGrid w:val="0"/>
                      <w:kern w:val="0"/>
                      <w:sz w:val="18"/>
                      <w:szCs w:val="18"/>
                      <w:highlight w:val="none"/>
                      <w:lang w:val="en-US" w:eastAsia="zh-CN" w:bidi="ar-SA"/>
                    </w:rPr>
                    <w:t>/h）</w:t>
                  </w:r>
                </w:p>
              </w:tc>
              <w:tc>
                <w:tcPr>
                  <w:tcW w:w="1250" w:type="pct"/>
                  <w:tcBorders>
                    <w:top w:val="single" w:color="auto" w:sz="12" w:space="0"/>
                  </w:tcBorders>
                  <w:noWrap w:val="0"/>
                  <w:vAlign w:val="center"/>
                </w:tcPr>
                <w:p w14:paraId="12A6688C">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snapToGrid w:val="0"/>
                      <w:kern w:val="0"/>
                      <w:sz w:val="18"/>
                      <w:szCs w:val="18"/>
                      <w:highlight w:val="none"/>
                      <w:lang w:val="en-US" w:eastAsia="zh-CN" w:bidi="ar-SA"/>
                    </w:rPr>
                  </w:pPr>
                  <w:r>
                    <w:rPr>
                      <w:rFonts w:hint="default" w:ascii="Times New Roman" w:hAnsi="Times New Roman" w:eastAsia="宋体" w:cs="Times New Roman"/>
                      <w:bCs/>
                      <w:snapToGrid w:val="0"/>
                      <w:kern w:val="0"/>
                      <w:sz w:val="18"/>
                      <w:szCs w:val="18"/>
                      <w:highlight w:val="none"/>
                      <w:lang w:val="en-US" w:eastAsia="zh-CN" w:bidi="ar-SA"/>
                    </w:rPr>
                    <w:t>12.5</w:t>
                  </w:r>
                </w:p>
              </w:tc>
              <w:tc>
                <w:tcPr>
                  <w:tcW w:w="1249" w:type="pct"/>
                  <w:tcBorders>
                    <w:top w:val="single" w:color="auto" w:sz="12" w:space="0"/>
                  </w:tcBorders>
                  <w:noWrap w:val="0"/>
                  <w:vAlign w:val="center"/>
                </w:tcPr>
                <w:p w14:paraId="63537D4D">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snapToGrid w:val="0"/>
                      <w:kern w:val="0"/>
                      <w:sz w:val="18"/>
                      <w:szCs w:val="18"/>
                      <w:highlight w:val="none"/>
                      <w:lang w:val="en-US" w:eastAsia="zh-CN" w:bidi="ar-SA"/>
                    </w:rPr>
                  </w:pPr>
                  <w:r>
                    <w:rPr>
                      <w:rFonts w:hint="default" w:ascii="Times New Roman" w:hAnsi="Times New Roman" w:eastAsia="宋体" w:cs="Times New Roman"/>
                      <w:bCs/>
                      <w:snapToGrid w:val="0"/>
                      <w:kern w:val="0"/>
                      <w:sz w:val="18"/>
                      <w:szCs w:val="18"/>
                      <w:highlight w:val="none"/>
                      <w:lang w:val="en-US" w:eastAsia="zh-CN" w:bidi="ar-SA"/>
                    </w:rPr>
                    <w:t>1.6</w:t>
                  </w:r>
                </w:p>
              </w:tc>
              <w:tc>
                <w:tcPr>
                  <w:tcW w:w="1252" w:type="pct"/>
                  <w:tcBorders>
                    <w:top w:val="single" w:color="auto" w:sz="12" w:space="0"/>
                  </w:tcBorders>
                  <w:noWrap w:val="0"/>
                  <w:vAlign w:val="center"/>
                </w:tcPr>
                <w:p w14:paraId="3D88D28F">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snapToGrid w:val="0"/>
                      <w:kern w:val="0"/>
                      <w:sz w:val="18"/>
                      <w:szCs w:val="18"/>
                      <w:highlight w:val="none"/>
                      <w:lang w:val="en-US" w:eastAsia="zh-CN" w:bidi="ar-SA"/>
                    </w:rPr>
                  </w:pPr>
                  <w:r>
                    <w:rPr>
                      <w:rFonts w:hint="default" w:ascii="Times New Roman" w:hAnsi="Times New Roman" w:eastAsia="宋体" w:cs="Times New Roman"/>
                      <w:bCs/>
                      <w:snapToGrid w:val="0"/>
                      <w:kern w:val="0"/>
                      <w:sz w:val="18"/>
                      <w:szCs w:val="18"/>
                      <w:highlight w:val="none"/>
                      <w:lang w:val="en-US" w:eastAsia="zh-CN" w:bidi="ar-SA"/>
                    </w:rPr>
                    <w:t>0.75</w:t>
                  </w:r>
                </w:p>
              </w:tc>
            </w:tr>
            <w:tr w14:paraId="763507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4"/>
                  <w:tcBorders>
                    <w:bottom w:val="single" w:color="auto" w:sz="12" w:space="0"/>
                  </w:tcBorders>
                  <w:noWrap w:val="0"/>
                  <w:vAlign w:val="center"/>
                </w:tcPr>
                <w:p w14:paraId="37D887A2">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Cs/>
                      <w:snapToGrid w:val="0"/>
                      <w:kern w:val="0"/>
                      <w:sz w:val="18"/>
                      <w:szCs w:val="18"/>
                      <w:highlight w:val="none"/>
                      <w:lang w:val="en-US" w:eastAsia="zh-CN" w:bidi="ar-SA"/>
                    </w:rPr>
                  </w:pPr>
                  <w:r>
                    <w:rPr>
                      <w:rFonts w:hint="default" w:ascii="Times New Roman" w:hAnsi="Times New Roman" w:eastAsia="宋体" w:cs="Times New Roman"/>
                      <w:color w:val="000000"/>
                      <w:kern w:val="0"/>
                      <w:sz w:val="18"/>
                      <w:szCs w:val="18"/>
                      <w:lang w:val="en-US" w:eastAsia="zh-CN" w:bidi="ar"/>
                    </w:rPr>
                    <w:t>注：若锯机锯片数不同时，基本可参照上述数据进行线性估算。</w:t>
                  </w:r>
                </w:p>
              </w:tc>
            </w:tr>
          </w:tbl>
          <w:p w14:paraId="0BEA06DD">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Cs/>
                <w:snapToGrid w:val="0"/>
                <w:color w:val="000000"/>
                <w:kern w:val="0"/>
                <w:sz w:val="24"/>
                <w:szCs w:val="24"/>
                <w:highlight w:val="none"/>
                <w:lang w:val="en-US" w:eastAsia="zh-CN" w:bidi="ar-SA"/>
              </w:rPr>
            </w:pPr>
            <w:r>
              <w:rPr>
                <w:rFonts w:hint="eastAsia" w:ascii="Times New Roman" w:hAnsi="Times New Roman" w:eastAsia="宋体" w:cs="Times New Roman"/>
                <w:bCs/>
                <w:snapToGrid w:val="0"/>
                <w:color w:val="000000"/>
                <w:kern w:val="0"/>
                <w:sz w:val="24"/>
                <w:szCs w:val="24"/>
                <w:highlight w:val="none"/>
                <w:lang w:val="en-US" w:eastAsia="zh-CN" w:bidi="ar-SA"/>
              </w:rPr>
              <w:t>本项目所采用切割锯主要是</w:t>
            </w:r>
            <w:r>
              <w:rPr>
                <w:rFonts w:hint="default" w:ascii="Times New Roman" w:hAnsi="Times New Roman" w:eastAsia="宋体" w:cs="Times New Roman"/>
                <w:bCs/>
                <w:snapToGrid w:val="0"/>
                <w:color w:val="000000"/>
                <w:kern w:val="0"/>
                <w:sz w:val="24"/>
                <w:szCs w:val="24"/>
                <w:highlight w:val="none"/>
                <w:lang w:val="en-US" w:eastAsia="zh-CN" w:bidi="ar-SA"/>
              </w:rPr>
              <w:t>2</w:t>
            </w:r>
            <w:r>
              <w:rPr>
                <w:rFonts w:hint="eastAsia" w:ascii="Times New Roman" w:hAnsi="Times New Roman" w:eastAsia="宋体" w:cs="Times New Roman"/>
                <w:bCs/>
                <w:snapToGrid w:val="0"/>
                <w:color w:val="000000"/>
                <w:kern w:val="0"/>
                <w:sz w:val="24"/>
                <w:szCs w:val="24"/>
                <w:highlight w:val="none"/>
                <w:lang w:val="en-US" w:eastAsia="zh-CN" w:bidi="ar-SA"/>
              </w:rPr>
              <w:t>片装，工作时间为12</w:t>
            </w:r>
            <w:r>
              <w:rPr>
                <w:rFonts w:hint="default" w:ascii="Times New Roman" w:hAnsi="Times New Roman" w:eastAsia="宋体" w:cs="Times New Roman"/>
                <w:bCs/>
                <w:snapToGrid w:val="0"/>
                <w:color w:val="000000"/>
                <w:kern w:val="0"/>
                <w:sz w:val="24"/>
                <w:szCs w:val="24"/>
                <w:highlight w:val="none"/>
                <w:lang w:val="en-US" w:eastAsia="zh-CN" w:bidi="ar-SA"/>
              </w:rPr>
              <w:t>h/</w:t>
            </w:r>
            <w:r>
              <w:rPr>
                <w:rFonts w:hint="eastAsia" w:ascii="Times New Roman" w:hAnsi="Times New Roman" w:eastAsia="宋体" w:cs="Times New Roman"/>
                <w:bCs/>
                <w:snapToGrid w:val="0"/>
                <w:color w:val="000000"/>
                <w:kern w:val="0"/>
                <w:sz w:val="24"/>
                <w:szCs w:val="24"/>
                <w:highlight w:val="none"/>
                <w:lang w:val="en-US" w:eastAsia="zh-CN" w:bidi="ar-SA"/>
              </w:rPr>
              <w:t>天，8</w:t>
            </w:r>
            <w:r>
              <w:rPr>
                <w:rFonts w:hint="default" w:ascii="Times New Roman" w:hAnsi="Times New Roman" w:eastAsia="宋体" w:cs="Times New Roman"/>
                <w:bCs/>
                <w:snapToGrid w:val="0"/>
                <w:color w:val="000000"/>
                <w:kern w:val="0"/>
                <w:sz w:val="24"/>
                <w:szCs w:val="24"/>
                <w:highlight w:val="none"/>
                <w:lang w:val="en-US" w:eastAsia="zh-CN" w:bidi="ar-SA"/>
              </w:rPr>
              <w:t>台</w:t>
            </w:r>
            <w:r>
              <w:rPr>
                <w:rFonts w:hint="eastAsia" w:ascii="Times New Roman" w:hAnsi="Times New Roman" w:eastAsia="宋体" w:cs="Times New Roman"/>
                <w:bCs/>
                <w:snapToGrid w:val="0"/>
                <w:color w:val="000000"/>
                <w:kern w:val="0"/>
                <w:sz w:val="24"/>
                <w:szCs w:val="24"/>
                <w:highlight w:val="none"/>
                <w:lang w:val="en-US" w:eastAsia="zh-CN" w:bidi="ar-SA"/>
              </w:rPr>
              <w:t>双刀圆盘锯</w:t>
            </w:r>
            <w:r>
              <w:rPr>
                <w:rFonts w:hint="default" w:ascii="Times New Roman" w:hAnsi="Times New Roman" w:eastAsia="宋体" w:cs="Times New Roman"/>
                <w:bCs/>
                <w:snapToGrid w:val="0"/>
                <w:color w:val="000000"/>
                <w:kern w:val="0"/>
                <w:sz w:val="24"/>
                <w:szCs w:val="24"/>
                <w:highlight w:val="none"/>
                <w:lang w:val="en-US" w:eastAsia="zh-CN" w:bidi="ar-SA"/>
              </w:rPr>
              <w:t>用水量为</w:t>
            </w:r>
            <w:r>
              <w:rPr>
                <w:rFonts w:hint="eastAsia" w:ascii="Times New Roman" w:hAnsi="Times New Roman" w:eastAsia="宋体" w:cs="Times New Roman"/>
                <w:bCs/>
                <w:snapToGrid w:val="0"/>
                <w:color w:val="000000"/>
                <w:kern w:val="0"/>
                <w:sz w:val="24"/>
                <w:szCs w:val="24"/>
                <w:highlight w:val="none"/>
                <w:lang w:val="en-US" w:eastAsia="zh-CN" w:bidi="ar-SA"/>
              </w:rPr>
              <w:t>240</w:t>
            </w:r>
            <w:r>
              <w:rPr>
                <w:rFonts w:hint="default" w:ascii="Times New Roman" w:hAnsi="Times New Roman" w:eastAsia="宋体" w:cs="Times New Roman"/>
                <w:bCs/>
                <w:snapToGrid w:val="0"/>
                <w:color w:val="000000"/>
                <w:kern w:val="0"/>
                <w:sz w:val="24"/>
                <w:szCs w:val="24"/>
                <w:highlight w:val="none"/>
                <w:lang w:val="en-US" w:eastAsia="zh-CN" w:bidi="ar-SA"/>
              </w:rPr>
              <w:t>m</w:t>
            </w:r>
            <w:r>
              <w:rPr>
                <w:rFonts w:hint="eastAsia" w:ascii="Times New Roman" w:hAnsi="Times New Roman" w:eastAsia="宋体" w:cs="Times New Roman"/>
                <w:bCs/>
                <w:snapToGrid w:val="0"/>
                <w:color w:val="000000"/>
                <w:kern w:val="0"/>
                <w:sz w:val="24"/>
                <w:szCs w:val="24"/>
                <w:highlight w:val="none"/>
                <w:vertAlign w:val="superscript"/>
                <w:lang w:val="en-US" w:eastAsia="zh-CN" w:bidi="ar-SA"/>
              </w:rPr>
              <w:t>3</w:t>
            </w:r>
            <w:r>
              <w:rPr>
                <w:rFonts w:hint="default" w:ascii="Times New Roman" w:hAnsi="Times New Roman" w:eastAsia="宋体" w:cs="Times New Roman"/>
                <w:bCs/>
                <w:snapToGrid w:val="0"/>
                <w:color w:val="000000"/>
                <w:kern w:val="0"/>
                <w:sz w:val="24"/>
                <w:szCs w:val="24"/>
                <w:highlight w:val="none"/>
                <w:lang w:val="en-US" w:eastAsia="zh-CN" w:bidi="ar-SA"/>
              </w:rPr>
              <w:t>/d，</w:t>
            </w:r>
            <w:r>
              <w:rPr>
                <w:rFonts w:hint="eastAsia" w:ascii="Times New Roman" w:hAnsi="Times New Roman" w:eastAsia="宋体" w:cs="Times New Roman"/>
                <w:bCs/>
                <w:snapToGrid w:val="0"/>
                <w:color w:val="000000"/>
                <w:kern w:val="0"/>
                <w:sz w:val="24"/>
                <w:szCs w:val="24"/>
                <w:highlight w:val="none"/>
                <w:lang w:val="en-US" w:eastAsia="zh-CN" w:bidi="ar-SA"/>
              </w:rPr>
              <w:t>72000</w:t>
            </w:r>
            <w:r>
              <w:rPr>
                <w:rFonts w:hint="default" w:ascii="Times New Roman" w:hAnsi="Times New Roman" w:eastAsia="宋体" w:cs="Times New Roman"/>
                <w:bCs/>
                <w:snapToGrid w:val="0"/>
                <w:color w:val="000000"/>
                <w:kern w:val="0"/>
                <w:sz w:val="24"/>
                <w:szCs w:val="24"/>
                <w:highlight w:val="none"/>
                <w:lang w:val="en-US" w:eastAsia="zh-CN" w:bidi="ar-SA"/>
              </w:rPr>
              <w:t>m</w:t>
            </w:r>
            <w:r>
              <w:rPr>
                <w:rFonts w:hint="eastAsia" w:ascii="Times New Roman" w:hAnsi="Times New Roman" w:eastAsia="宋体" w:cs="Times New Roman"/>
                <w:bCs/>
                <w:snapToGrid w:val="0"/>
                <w:color w:val="000000"/>
                <w:kern w:val="0"/>
                <w:sz w:val="24"/>
                <w:szCs w:val="24"/>
                <w:highlight w:val="none"/>
                <w:vertAlign w:val="superscript"/>
                <w:lang w:val="en-US" w:eastAsia="zh-CN" w:bidi="ar-SA"/>
              </w:rPr>
              <w:t>3</w:t>
            </w:r>
            <w:r>
              <w:rPr>
                <w:rFonts w:hint="default" w:ascii="Times New Roman" w:hAnsi="Times New Roman" w:eastAsia="宋体" w:cs="Times New Roman"/>
                <w:bCs/>
                <w:snapToGrid w:val="0"/>
                <w:color w:val="000000"/>
                <w:kern w:val="0"/>
                <w:sz w:val="24"/>
                <w:szCs w:val="24"/>
                <w:highlight w:val="none"/>
                <w:lang w:val="en-US" w:eastAsia="zh-CN" w:bidi="ar-SA"/>
              </w:rPr>
              <w:t>/a。</w:t>
            </w:r>
          </w:p>
          <w:p w14:paraId="3B90659F">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Cs/>
                <w:snapToGrid w:val="0"/>
                <w:color w:val="000000"/>
                <w:kern w:val="0"/>
                <w:sz w:val="24"/>
                <w:szCs w:val="24"/>
                <w:highlight w:val="none"/>
                <w:lang w:val="en-US" w:eastAsia="zh-CN" w:bidi="ar-SA"/>
              </w:rPr>
            </w:pPr>
            <w:r>
              <w:rPr>
                <w:rFonts w:hint="default" w:ascii="Times New Roman" w:hAnsi="Times New Roman" w:eastAsia="宋体" w:cs="Times New Roman"/>
                <w:bCs/>
                <w:snapToGrid w:val="0"/>
                <w:color w:val="000000"/>
                <w:kern w:val="0"/>
                <w:sz w:val="24"/>
                <w:szCs w:val="24"/>
                <w:highlight w:val="none"/>
                <w:lang w:val="en-US" w:eastAsia="zh-CN" w:bidi="ar-SA"/>
              </w:rPr>
              <w:t>由于锯切作业主要作用为直接冷却锯片和降尘，约</w:t>
            </w:r>
            <w:r>
              <w:rPr>
                <w:rFonts w:hint="eastAsia" w:ascii="Times New Roman" w:hAnsi="Times New Roman" w:eastAsia="宋体" w:cs="Times New Roman"/>
                <w:bCs/>
                <w:snapToGrid w:val="0"/>
                <w:color w:val="000000"/>
                <w:kern w:val="0"/>
                <w:sz w:val="24"/>
                <w:szCs w:val="24"/>
                <w:highlight w:val="none"/>
                <w:lang w:val="en-US" w:eastAsia="zh-CN" w:bidi="ar-SA"/>
              </w:rPr>
              <w:t>3</w:t>
            </w:r>
            <w:r>
              <w:rPr>
                <w:rFonts w:hint="default" w:ascii="Times New Roman" w:hAnsi="Times New Roman" w:eastAsia="宋体" w:cs="Times New Roman"/>
                <w:bCs/>
                <w:snapToGrid w:val="0"/>
                <w:color w:val="000000"/>
                <w:kern w:val="0"/>
                <w:sz w:val="24"/>
                <w:szCs w:val="24"/>
                <w:highlight w:val="none"/>
                <w:lang w:val="en-US" w:eastAsia="zh-CN" w:bidi="ar-SA"/>
              </w:rPr>
              <w:t>0%蒸发耗散，70%废水进入沉淀池沉淀，沉淀后的上清水</w:t>
            </w:r>
            <w:r>
              <w:rPr>
                <w:rFonts w:hint="eastAsia" w:ascii="Times New Roman" w:hAnsi="Times New Roman" w:eastAsia="宋体" w:cs="Times New Roman"/>
                <w:bCs/>
                <w:snapToGrid w:val="0"/>
                <w:color w:val="000000"/>
                <w:kern w:val="0"/>
                <w:sz w:val="24"/>
                <w:szCs w:val="24"/>
                <w:highlight w:val="none"/>
                <w:lang w:val="en-US" w:eastAsia="zh-CN" w:bidi="ar-SA"/>
              </w:rPr>
              <w:t>循环使用</w:t>
            </w:r>
            <w:r>
              <w:rPr>
                <w:rFonts w:hint="default" w:ascii="Times New Roman" w:hAnsi="Times New Roman" w:eastAsia="宋体" w:cs="Times New Roman"/>
                <w:bCs/>
                <w:snapToGrid w:val="0"/>
                <w:color w:val="000000"/>
                <w:kern w:val="0"/>
                <w:sz w:val="24"/>
                <w:szCs w:val="24"/>
                <w:highlight w:val="none"/>
                <w:lang w:val="en-US" w:eastAsia="zh-CN" w:bidi="ar-SA"/>
              </w:rPr>
              <w:t>于锯切作业，即每天需补充水</w:t>
            </w:r>
            <w:r>
              <w:rPr>
                <w:rFonts w:hint="eastAsia" w:ascii="Times New Roman" w:hAnsi="Times New Roman" w:eastAsia="宋体" w:cs="Times New Roman"/>
                <w:bCs/>
                <w:snapToGrid w:val="0"/>
                <w:color w:val="000000"/>
                <w:kern w:val="0"/>
                <w:sz w:val="24"/>
                <w:szCs w:val="24"/>
                <w:highlight w:val="none"/>
                <w:lang w:val="en-US" w:eastAsia="zh-CN" w:bidi="ar-SA"/>
              </w:rPr>
              <w:t>72</w:t>
            </w:r>
            <w:r>
              <w:rPr>
                <w:rFonts w:hint="default" w:ascii="Times New Roman" w:hAnsi="Times New Roman" w:eastAsia="宋体" w:cs="Times New Roman"/>
                <w:bCs/>
                <w:snapToGrid w:val="0"/>
                <w:color w:val="000000"/>
                <w:kern w:val="0"/>
                <w:sz w:val="24"/>
                <w:szCs w:val="24"/>
                <w:highlight w:val="none"/>
                <w:lang w:val="en-US" w:eastAsia="zh-CN" w:bidi="ar-SA"/>
              </w:rPr>
              <w:t>m</w:t>
            </w:r>
            <w:r>
              <w:rPr>
                <w:rFonts w:hint="eastAsia" w:ascii="Times New Roman" w:hAnsi="Times New Roman" w:eastAsia="宋体" w:cs="Times New Roman"/>
                <w:bCs/>
                <w:snapToGrid w:val="0"/>
                <w:color w:val="000000"/>
                <w:kern w:val="0"/>
                <w:sz w:val="24"/>
                <w:szCs w:val="24"/>
                <w:highlight w:val="none"/>
                <w:vertAlign w:val="superscript"/>
                <w:lang w:val="en-US" w:eastAsia="zh-CN" w:bidi="ar-SA"/>
              </w:rPr>
              <w:t>3</w:t>
            </w:r>
            <w:r>
              <w:rPr>
                <w:rFonts w:hint="default" w:ascii="Times New Roman" w:hAnsi="Times New Roman" w:eastAsia="宋体" w:cs="Times New Roman"/>
                <w:bCs/>
                <w:snapToGrid w:val="0"/>
                <w:color w:val="000000"/>
                <w:kern w:val="0"/>
                <w:sz w:val="24"/>
                <w:szCs w:val="24"/>
                <w:highlight w:val="none"/>
                <w:lang w:val="en-US" w:eastAsia="zh-CN" w:bidi="ar-SA"/>
              </w:rPr>
              <w:t>，</w:t>
            </w:r>
            <w:r>
              <w:rPr>
                <w:rFonts w:hint="eastAsia" w:ascii="Times New Roman" w:hAnsi="Times New Roman" w:eastAsia="宋体" w:cs="Times New Roman"/>
                <w:bCs/>
                <w:snapToGrid w:val="0"/>
                <w:color w:val="000000"/>
                <w:kern w:val="0"/>
                <w:sz w:val="24"/>
                <w:szCs w:val="24"/>
                <w:highlight w:val="none"/>
                <w:lang w:val="en-US" w:eastAsia="zh-CN" w:bidi="ar-SA"/>
              </w:rPr>
              <w:t>全部使用处理后的初期雨水进行补水。</w:t>
            </w:r>
          </w:p>
          <w:p w14:paraId="2ED865E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rFonts w:hint="eastAsia" w:ascii="Times New Roman" w:hAnsi="Times New Roman" w:eastAsia="宋体" w:cs="Times New Roman"/>
                <w:bCs/>
                <w:snapToGrid w:val="0"/>
                <w:kern w:val="0"/>
                <w:sz w:val="24"/>
                <w:szCs w:val="24"/>
                <w:highlight w:val="none"/>
                <w:lang w:val="en-US" w:eastAsia="zh-CN" w:bidi="ar-SA"/>
              </w:rPr>
            </w:pPr>
            <w:r>
              <w:rPr>
                <w:rFonts w:hint="default" w:ascii="Times New Roman" w:hAnsi="Times New Roman" w:eastAsia="宋体" w:cs="Times New Roman"/>
                <w:bCs/>
                <w:snapToGrid w:val="0"/>
                <w:kern w:val="0"/>
                <w:sz w:val="24"/>
                <w:szCs w:val="24"/>
                <w:highlight w:val="none"/>
                <w:lang w:val="en-US" w:eastAsia="zh-CN" w:bidi="ar-SA"/>
              </w:rPr>
              <w:fldChar w:fldCharType="begin"/>
            </w:r>
            <w:r>
              <w:rPr>
                <w:rFonts w:hint="default" w:ascii="Times New Roman" w:hAnsi="Times New Roman" w:eastAsia="宋体" w:cs="Times New Roman"/>
                <w:bCs/>
                <w:snapToGrid w:val="0"/>
                <w:kern w:val="0"/>
                <w:sz w:val="24"/>
                <w:szCs w:val="24"/>
                <w:highlight w:val="none"/>
                <w:lang w:val="en-US" w:eastAsia="zh-CN" w:bidi="ar-SA"/>
              </w:rPr>
              <w:instrText xml:space="preserve">=2\*GB3\*MERGEFORMAT</w:instrText>
            </w:r>
            <w:r>
              <w:rPr>
                <w:rFonts w:hint="default" w:ascii="Times New Roman" w:hAnsi="Times New Roman" w:eastAsia="宋体" w:cs="Times New Roman"/>
                <w:bCs/>
                <w:snapToGrid w:val="0"/>
                <w:kern w:val="0"/>
                <w:sz w:val="24"/>
                <w:szCs w:val="24"/>
                <w:highlight w:val="none"/>
                <w:lang w:val="en-US" w:eastAsia="zh-CN" w:bidi="ar-SA"/>
              </w:rPr>
              <w:fldChar w:fldCharType="separate"/>
            </w:r>
            <w:r>
              <w:rPr>
                <w:rFonts w:hint="default" w:ascii="Times New Roman" w:hAnsi="Times New Roman" w:cs="Times New Roman"/>
                <w:sz w:val="24"/>
                <w:szCs w:val="24"/>
                <w:highlight w:val="none"/>
              </w:rPr>
              <w:t>②</w:t>
            </w:r>
            <w:r>
              <w:rPr>
                <w:rFonts w:hint="default" w:ascii="Times New Roman" w:hAnsi="Times New Roman" w:eastAsia="宋体" w:cs="Times New Roman"/>
                <w:bCs/>
                <w:snapToGrid w:val="0"/>
                <w:kern w:val="0"/>
                <w:sz w:val="24"/>
                <w:szCs w:val="24"/>
                <w:highlight w:val="none"/>
                <w:lang w:val="en-US" w:eastAsia="zh-CN" w:bidi="ar-SA"/>
              </w:rPr>
              <w:fldChar w:fldCharType="end"/>
            </w:r>
            <w:r>
              <w:rPr>
                <w:rFonts w:hint="default" w:ascii="Times New Roman" w:hAnsi="Times New Roman" w:eastAsia="宋体" w:cs="Times New Roman"/>
                <w:bCs/>
                <w:snapToGrid w:val="0"/>
                <w:kern w:val="0"/>
                <w:sz w:val="24"/>
                <w:szCs w:val="24"/>
                <w:highlight w:val="none"/>
                <w:lang w:val="en-US" w:eastAsia="zh-CN" w:bidi="ar-SA"/>
              </w:rPr>
              <w:t>抑尘用水</w:t>
            </w:r>
          </w:p>
          <w:p w14:paraId="6B07B0AC">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Cs/>
                <w:snapToGrid w:val="0"/>
                <w:color w:val="000000"/>
                <w:kern w:val="0"/>
                <w:sz w:val="24"/>
                <w:szCs w:val="24"/>
                <w:highlight w:val="none"/>
                <w:lang w:val="en-US" w:eastAsia="zh-CN" w:bidi="ar-SA"/>
              </w:rPr>
            </w:pPr>
            <w:r>
              <w:rPr>
                <w:rFonts w:hint="default" w:ascii="Times New Roman" w:hAnsi="Times New Roman" w:eastAsia="宋体" w:cs="Times New Roman"/>
                <w:bCs/>
                <w:snapToGrid w:val="0"/>
                <w:color w:val="000000"/>
                <w:kern w:val="0"/>
                <w:sz w:val="24"/>
                <w:szCs w:val="24"/>
                <w:highlight w:val="none"/>
                <w:lang w:val="en-US" w:eastAsia="zh-CN" w:bidi="ar-SA"/>
              </w:rPr>
              <w:t>项目的抑尘洒水主要用于采挖、矿石运输、装卸等处抑尘用水，该类用水系数按照每吨矿石0.</w:t>
            </w:r>
            <w:r>
              <w:rPr>
                <w:rFonts w:hint="eastAsia" w:ascii="Times New Roman" w:hAnsi="Times New Roman" w:eastAsia="宋体" w:cs="Times New Roman"/>
                <w:bCs/>
                <w:snapToGrid w:val="0"/>
                <w:color w:val="000000"/>
                <w:kern w:val="0"/>
                <w:sz w:val="24"/>
                <w:szCs w:val="24"/>
                <w:highlight w:val="none"/>
                <w:lang w:val="en-US" w:eastAsia="zh-CN" w:bidi="ar-SA"/>
              </w:rPr>
              <w:t>15</w:t>
            </w:r>
            <w:r>
              <w:rPr>
                <w:rFonts w:hint="default" w:ascii="Times New Roman" w:hAnsi="Times New Roman" w:eastAsia="宋体" w:cs="Times New Roman"/>
                <w:bCs/>
                <w:snapToGrid w:val="0"/>
                <w:color w:val="000000"/>
                <w:kern w:val="0"/>
                <w:sz w:val="24"/>
                <w:szCs w:val="24"/>
                <w:highlight w:val="none"/>
                <w:lang w:val="en-US" w:eastAsia="zh-CN" w:bidi="ar-SA"/>
              </w:rPr>
              <w:t>t用水计算，</w:t>
            </w:r>
            <w:r>
              <w:rPr>
                <w:rFonts w:hint="eastAsia" w:ascii="Times New Roman" w:hAnsi="Times New Roman" w:eastAsia="宋体" w:cs="Times New Roman"/>
                <w:bCs/>
                <w:snapToGrid w:val="0"/>
                <w:color w:val="000000"/>
                <w:kern w:val="0"/>
                <w:sz w:val="24"/>
                <w:szCs w:val="24"/>
                <w:highlight w:val="none"/>
                <w:lang w:val="en-US" w:eastAsia="zh-CN" w:bidi="ar-SA"/>
              </w:rPr>
              <w:t>项目矿岩</w:t>
            </w:r>
            <w:r>
              <w:rPr>
                <w:rFonts w:hint="default" w:ascii="Times New Roman" w:hAnsi="Times New Roman" w:eastAsia="宋体" w:cs="Times New Roman"/>
                <w:bCs/>
                <w:snapToGrid w:val="0"/>
                <w:color w:val="000000"/>
                <w:kern w:val="0"/>
                <w:sz w:val="24"/>
                <w:szCs w:val="24"/>
                <w:highlight w:val="none"/>
                <w:lang w:val="en-US" w:eastAsia="zh-CN" w:bidi="ar-SA"/>
              </w:rPr>
              <w:t>年产生量约</w:t>
            </w:r>
            <w:r>
              <w:rPr>
                <w:rFonts w:hint="eastAsia" w:ascii="Times New Roman" w:hAnsi="Times New Roman" w:eastAsia="宋体" w:cs="Times New Roman"/>
                <w:bCs/>
                <w:snapToGrid w:val="0"/>
                <w:color w:val="000000"/>
                <w:kern w:val="0"/>
                <w:sz w:val="24"/>
                <w:szCs w:val="24"/>
                <w:highlight w:val="none"/>
                <w:lang w:val="en-US" w:eastAsia="zh-CN" w:bidi="ar-SA"/>
              </w:rPr>
              <w:t>548</w:t>
            </w:r>
            <w:r>
              <w:rPr>
                <w:rFonts w:hint="default" w:ascii="Times New Roman" w:hAnsi="Times New Roman" w:eastAsia="宋体" w:cs="Times New Roman"/>
                <w:bCs/>
                <w:snapToGrid w:val="0"/>
                <w:color w:val="000000"/>
                <w:kern w:val="0"/>
                <w:sz w:val="24"/>
                <w:szCs w:val="24"/>
                <w:highlight w:val="none"/>
                <w:lang w:val="en-US" w:eastAsia="zh-CN" w:bidi="ar-SA"/>
              </w:rPr>
              <w:t>万t/a，则抑尘用水量为</w:t>
            </w:r>
            <w:r>
              <w:rPr>
                <w:rFonts w:hint="eastAsia" w:ascii="Times New Roman" w:hAnsi="Times New Roman" w:eastAsia="宋体" w:cs="Times New Roman"/>
                <w:bCs/>
                <w:snapToGrid w:val="0"/>
                <w:color w:val="000000"/>
                <w:kern w:val="0"/>
                <w:sz w:val="24"/>
                <w:szCs w:val="24"/>
                <w:highlight w:val="none"/>
                <w:lang w:val="en-US" w:eastAsia="zh-CN" w:bidi="ar-SA"/>
              </w:rPr>
              <w:t>82.2万</w:t>
            </w:r>
            <w:r>
              <w:rPr>
                <w:rFonts w:hint="default" w:ascii="Times New Roman" w:hAnsi="Times New Roman" w:eastAsia="宋体" w:cs="Times New Roman"/>
                <w:bCs/>
                <w:snapToGrid w:val="0"/>
                <w:color w:val="000000"/>
                <w:kern w:val="0"/>
                <w:sz w:val="24"/>
                <w:szCs w:val="24"/>
                <w:highlight w:val="none"/>
                <w:lang w:val="en-US" w:eastAsia="zh-CN" w:bidi="ar-SA"/>
              </w:rPr>
              <w:t>t/a</w:t>
            </w:r>
            <w:r>
              <w:rPr>
                <w:rFonts w:hint="eastAsia" w:ascii="Times New Roman" w:hAnsi="Times New Roman" w:eastAsia="宋体" w:cs="Times New Roman"/>
                <w:bCs/>
                <w:snapToGrid w:val="0"/>
                <w:color w:val="000000"/>
                <w:kern w:val="0"/>
                <w:sz w:val="24"/>
                <w:szCs w:val="24"/>
                <w:highlight w:val="none"/>
                <w:lang w:val="en-US" w:eastAsia="zh-CN" w:bidi="ar-SA"/>
              </w:rPr>
              <w:t>，全部使用收集处理后的初期雨水</w:t>
            </w:r>
            <w:r>
              <w:rPr>
                <w:rFonts w:hint="default" w:ascii="Times New Roman" w:hAnsi="Times New Roman" w:eastAsia="宋体" w:cs="Times New Roman"/>
                <w:bCs/>
                <w:snapToGrid w:val="0"/>
                <w:color w:val="000000"/>
                <w:kern w:val="0"/>
                <w:sz w:val="24"/>
                <w:szCs w:val="24"/>
                <w:highlight w:val="none"/>
                <w:lang w:val="en-US" w:eastAsia="zh-CN" w:bidi="ar-SA"/>
              </w:rPr>
              <w:t>。</w:t>
            </w:r>
            <w:r>
              <w:rPr>
                <w:rFonts w:hint="eastAsia" w:ascii="Times New Roman" w:hAnsi="Times New Roman" w:eastAsia="宋体" w:cs="Times New Roman"/>
                <w:bCs/>
                <w:snapToGrid w:val="0"/>
                <w:color w:val="000000"/>
                <w:kern w:val="0"/>
                <w:sz w:val="24"/>
                <w:szCs w:val="24"/>
                <w:highlight w:val="none"/>
                <w:lang w:val="en-US" w:eastAsia="zh-CN" w:bidi="ar-SA"/>
              </w:rPr>
              <w:t>项目</w:t>
            </w:r>
            <w:r>
              <w:rPr>
                <w:rFonts w:hint="default" w:ascii="Times New Roman" w:hAnsi="Times New Roman" w:eastAsia="宋体" w:cs="Times New Roman"/>
                <w:bCs/>
                <w:snapToGrid w:val="0"/>
                <w:color w:val="000000"/>
                <w:kern w:val="0"/>
                <w:sz w:val="24"/>
                <w:szCs w:val="24"/>
                <w:highlight w:val="none"/>
                <w:lang w:val="en-US" w:eastAsia="zh-CN" w:bidi="ar-SA"/>
              </w:rPr>
              <w:t>洒水量根据当地气候条件控制，不会产生地表径流，经自然蒸发或者矿石吸收消耗，不外排。</w:t>
            </w:r>
          </w:p>
          <w:p w14:paraId="45CF8AC9">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snapToGrid w:val="0"/>
                <w:color w:val="000000"/>
                <w:kern w:val="0"/>
                <w:sz w:val="24"/>
                <w:szCs w:val="24"/>
                <w:highlight w:val="none"/>
                <w:lang w:val="en-US" w:eastAsia="zh-CN" w:bidi="ar-SA"/>
              </w:rPr>
            </w:pPr>
            <w:r>
              <w:rPr>
                <w:rFonts w:hint="default" w:ascii="Times New Roman" w:hAnsi="Times New Roman" w:eastAsia="宋体" w:cs="Times New Roman"/>
                <w:bCs/>
                <w:snapToGrid w:val="0"/>
                <w:color w:val="000000"/>
                <w:kern w:val="0"/>
                <w:sz w:val="24"/>
                <w:szCs w:val="24"/>
                <w:highlight w:val="none"/>
                <w:lang w:val="en-US" w:eastAsia="zh-CN" w:bidi="ar-SA"/>
              </w:rPr>
              <w:t>抑尘废水中主要含有石粉（成分为SiO</w:t>
            </w:r>
            <w:r>
              <w:rPr>
                <w:rFonts w:hint="default" w:ascii="Times New Roman" w:hAnsi="Times New Roman" w:eastAsia="宋体" w:cs="Times New Roman"/>
                <w:bCs/>
                <w:snapToGrid w:val="0"/>
                <w:color w:val="000000"/>
                <w:kern w:val="0"/>
                <w:sz w:val="24"/>
                <w:szCs w:val="24"/>
                <w:highlight w:val="none"/>
                <w:vertAlign w:val="subscript"/>
                <w:lang w:val="en-US" w:eastAsia="zh-CN" w:bidi="ar-SA"/>
              </w:rPr>
              <w:t>2</w:t>
            </w:r>
            <w:r>
              <w:rPr>
                <w:rFonts w:hint="default" w:ascii="Times New Roman" w:hAnsi="Times New Roman" w:eastAsia="宋体" w:cs="Times New Roman"/>
                <w:bCs/>
                <w:snapToGrid w:val="0"/>
                <w:color w:val="000000"/>
                <w:kern w:val="0"/>
                <w:sz w:val="24"/>
                <w:szCs w:val="24"/>
                <w:highlight w:val="none"/>
                <w:lang w:val="en-US" w:eastAsia="zh-CN" w:bidi="ar-SA"/>
              </w:rPr>
              <w:t>、CaO和CaCO</w:t>
            </w:r>
            <w:r>
              <w:rPr>
                <w:rFonts w:hint="default" w:ascii="Times New Roman" w:hAnsi="Times New Roman" w:eastAsia="宋体" w:cs="Times New Roman"/>
                <w:bCs/>
                <w:snapToGrid w:val="0"/>
                <w:color w:val="000000"/>
                <w:kern w:val="0"/>
                <w:sz w:val="24"/>
                <w:szCs w:val="24"/>
                <w:highlight w:val="none"/>
                <w:vertAlign w:val="subscript"/>
                <w:lang w:val="en-US" w:eastAsia="zh-CN" w:bidi="ar-SA"/>
              </w:rPr>
              <w:t>3</w:t>
            </w:r>
            <w:r>
              <w:rPr>
                <w:rFonts w:hint="default" w:ascii="Times New Roman" w:hAnsi="Times New Roman" w:eastAsia="宋体" w:cs="Times New Roman"/>
                <w:bCs/>
                <w:snapToGrid w:val="0"/>
                <w:color w:val="000000"/>
                <w:kern w:val="0"/>
                <w:sz w:val="24"/>
                <w:szCs w:val="24"/>
                <w:highlight w:val="none"/>
                <w:lang w:val="en-US" w:eastAsia="zh-CN" w:bidi="ar-SA"/>
              </w:rPr>
              <w:t>等)，少量金刚石细粒、磨料细粒以及冲洗泥砂等。通过调研和水质分析可知，该废水的特征污染物为悬浮物（SS），污水中颗粒呈悬浮和胶体状态，分散度高。根据类比分析，废水中主要污染物SS浓度</w:t>
            </w:r>
            <w:r>
              <w:rPr>
                <w:rFonts w:hint="eastAsia" w:ascii="Times New Roman" w:hAnsi="Times New Roman" w:eastAsia="宋体" w:cs="Times New Roman"/>
                <w:bCs/>
                <w:snapToGrid w:val="0"/>
                <w:color w:val="000000"/>
                <w:kern w:val="0"/>
                <w:sz w:val="24"/>
                <w:szCs w:val="24"/>
                <w:highlight w:val="none"/>
                <w:lang w:val="en-US" w:eastAsia="zh-CN" w:bidi="ar-SA"/>
              </w:rPr>
              <w:t>约</w:t>
            </w:r>
            <w:r>
              <w:rPr>
                <w:rFonts w:hint="default" w:ascii="Times New Roman" w:hAnsi="Times New Roman" w:eastAsia="宋体" w:cs="Times New Roman"/>
                <w:bCs/>
                <w:snapToGrid w:val="0"/>
                <w:color w:val="000000"/>
                <w:kern w:val="0"/>
                <w:sz w:val="24"/>
                <w:szCs w:val="24"/>
                <w:highlight w:val="none"/>
                <w:lang w:val="en-US" w:eastAsia="zh-CN" w:bidi="ar-SA"/>
              </w:rPr>
              <w:t>为</w:t>
            </w:r>
            <w:r>
              <w:rPr>
                <w:rFonts w:hint="eastAsia" w:ascii="Times New Roman" w:hAnsi="Times New Roman" w:eastAsia="宋体" w:cs="Times New Roman"/>
                <w:bCs/>
                <w:snapToGrid w:val="0"/>
                <w:color w:val="000000"/>
                <w:kern w:val="0"/>
                <w:sz w:val="24"/>
                <w:szCs w:val="24"/>
                <w:highlight w:val="none"/>
                <w:lang w:val="en-US" w:eastAsia="zh-CN" w:bidi="ar-SA"/>
              </w:rPr>
              <w:t>7</w:t>
            </w:r>
            <w:r>
              <w:rPr>
                <w:rFonts w:hint="default" w:ascii="Times New Roman" w:hAnsi="Times New Roman" w:eastAsia="宋体" w:cs="Times New Roman"/>
                <w:bCs/>
                <w:snapToGrid w:val="0"/>
                <w:color w:val="000000"/>
                <w:kern w:val="0"/>
                <w:sz w:val="24"/>
                <w:szCs w:val="24"/>
                <w:highlight w:val="none"/>
                <w:lang w:val="en-US" w:eastAsia="zh-CN" w:bidi="ar-SA"/>
              </w:rPr>
              <w:t>00mg/L。</w:t>
            </w:r>
          </w:p>
          <w:p w14:paraId="4938FFF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Cs/>
                <w:snapToGrid w:val="0"/>
                <w:color w:val="000000"/>
                <w:kern w:val="0"/>
                <w:sz w:val="24"/>
                <w:szCs w:val="24"/>
                <w:highlight w:val="none"/>
                <w:lang w:val="en-US" w:eastAsia="zh-CN" w:bidi="ar-SA"/>
              </w:rPr>
            </w:pPr>
            <w:r>
              <w:rPr>
                <w:rFonts w:hint="default" w:ascii="Times New Roman" w:hAnsi="Times New Roman" w:eastAsia="宋体" w:cs="Times New Roman"/>
                <w:bCs/>
                <w:snapToGrid w:val="0"/>
                <w:color w:val="000000"/>
                <w:kern w:val="0"/>
                <w:sz w:val="24"/>
                <w:szCs w:val="24"/>
                <w:highlight w:val="none"/>
                <w:lang w:val="en-US" w:eastAsia="zh-CN" w:bidi="ar-SA"/>
              </w:rPr>
              <w:t>综上所述，项目生产用水</w:t>
            </w:r>
            <w:r>
              <w:rPr>
                <w:rFonts w:hint="eastAsia" w:ascii="Times New Roman" w:hAnsi="Times New Roman" w:eastAsia="宋体" w:cs="Times New Roman"/>
                <w:bCs/>
                <w:snapToGrid w:val="0"/>
                <w:color w:val="000000"/>
                <w:kern w:val="0"/>
                <w:sz w:val="24"/>
                <w:szCs w:val="24"/>
                <w:highlight w:val="none"/>
                <w:lang w:val="en-US" w:eastAsia="zh-CN" w:bidi="ar-SA"/>
              </w:rPr>
              <w:t>主要</w:t>
            </w:r>
            <w:r>
              <w:rPr>
                <w:rFonts w:hint="default" w:ascii="Times New Roman" w:hAnsi="Times New Roman" w:eastAsia="宋体" w:cs="Times New Roman"/>
                <w:bCs/>
                <w:snapToGrid w:val="0"/>
                <w:color w:val="000000"/>
                <w:kern w:val="0"/>
                <w:sz w:val="24"/>
                <w:szCs w:val="24"/>
                <w:highlight w:val="none"/>
                <w:lang w:val="en-US" w:eastAsia="zh-CN" w:bidi="ar-SA"/>
              </w:rPr>
              <w:t>以蒸发的形式损失和进入矿石，</w:t>
            </w:r>
            <w:r>
              <w:rPr>
                <w:rFonts w:hint="eastAsia" w:ascii="Times New Roman" w:hAnsi="Times New Roman" w:eastAsia="宋体" w:cs="Times New Roman"/>
                <w:bCs/>
                <w:snapToGrid w:val="0"/>
                <w:color w:val="000000"/>
                <w:kern w:val="0"/>
                <w:sz w:val="24"/>
                <w:szCs w:val="24"/>
                <w:highlight w:val="none"/>
                <w:lang w:val="en-US" w:eastAsia="zh-CN" w:bidi="ar-SA"/>
              </w:rPr>
              <w:t>小</w:t>
            </w:r>
            <w:r>
              <w:rPr>
                <w:rFonts w:hint="default" w:ascii="Times New Roman" w:hAnsi="Times New Roman" w:eastAsia="宋体" w:cs="Times New Roman"/>
                <w:bCs/>
                <w:snapToGrid w:val="0"/>
                <w:color w:val="000000"/>
                <w:kern w:val="0"/>
                <w:sz w:val="24"/>
                <w:szCs w:val="24"/>
                <w:highlight w:val="none"/>
                <w:lang w:val="en-US" w:eastAsia="zh-CN" w:bidi="ar-SA"/>
              </w:rPr>
              <w:t>部分经截排水沟汇入沉淀池沉淀回用，抑尘用水对水质要求不高，不外排。因此，项目无生产废水</w:t>
            </w:r>
            <w:r>
              <w:rPr>
                <w:rFonts w:hint="eastAsia" w:ascii="Times New Roman" w:hAnsi="Times New Roman" w:eastAsia="宋体" w:cs="Times New Roman"/>
                <w:bCs/>
                <w:snapToGrid w:val="0"/>
                <w:color w:val="000000"/>
                <w:kern w:val="0"/>
                <w:sz w:val="24"/>
                <w:szCs w:val="24"/>
                <w:highlight w:val="none"/>
                <w:lang w:val="en-US" w:eastAsia="zh-CN" w:bidi="ar-SA"/>
              </w:rPr>
              <w:t>排放</w:t>
            </w:r>
            <w:r>
              <w:rPr>
                <w:rFonts w:hint="default" w:ascii="Times New Roman" w:hAnsi="Times New Roman" w:eastAsia="宋体" w:cs="Times New Roman"/>
                <w:bCs/>
                <w:snapToGrid w:val="0"/>
                <w:color w:val="000000"/>
                <w:kern w:val="0"/>
                <w:sz w:val="24"/>
                <w:szCs w:val="24"/>
                <w:highlight w:val="none"/>
                <w:lang w:val="en-US" w:eastAsia="zh-CN" w:bidi="ar-SA"/>
              </w:rPr>
              <w:t>。</w:t>
            </w:r>
          </w:p>
          <w:p w14:paraId="7EF2AB2B">
            <w:pPr>
              <w:spacing w:after="60" w:line="360" w:lineRule="auto"/>
              <w:ind w:firstLine="482" w:firstLineChars="200"/>
              <w:contextualSpacing/>
              <w:rPr>
                <w:rFonts w:hint="eastAsia" w:eastAsia="宋体"/>
                <w:b/>
                <w:bCs/>
                <w:color w:val="000000"/>
                <w:sz w:val="24"/>
                <w:szCs w:val="24"/>
                <w:highlight w:val="none"/>
                <w:lang w:eastAsia="zh-CN"/>
              </w:rPr>
            </w:pPr>
            <w:r>
              <w:rPr>
                <w:rFonts w:hint="eastAsia"/>
                <w:b/>
                <w:bCs/>
                <w:color w:val="000000"/>
                <w:sz w:val="24"/>
                <w:szCs w:val="24"/>
                <w:highlight w:val="none"/>
                <w:lang w:eastAsia="zh-CN"/>
              </w:rPr>
              <w:t>矿区的排水方式</w:t>
            </w:r>
          </w:p>
          <w:p w14:paraId="19492D4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sz w:val="24"/>
                <w:szCs w:val="24"/>
                <w:highlight w:val="none"/>
                <w:lang w:eastAsia="zh-CN"/>
              </w:rPr>
            </w:pPr>
            <w:r>
              <w:rPr>
                <w:rFonts w:hint="default" w:ascii="Times New Roman" w:hAnsi="Times New Roman" w:cs="Times New Roman"/>
                <w:b/>
                <w:bCs/>
                <w:color w:val="000000"/>
                <w:sz w:val="24"/>
                <w:szCs w:val="24"/>
                <w:highlight w:val="none"/>
                <w:lang w:eastAsia="zh-CN"/>
              </w:rPr>
              <w:object>
                <v:shape id="_x0000_i1025" o:spt="75" type="#_x0000_t75" style="height:163.95pt;width:444.7pt;" o:ole="t" filled="f" o:preferrelative="t" stroked="t" coordsize="21600,21600">
                  <v:path/>
                  <v:fill on="f" focussize="0,0"/>
                  <v:stroke color="#000000" joinstyle="miter"/>
                  <v:imagedata r:id="rId21" o:title=""/>
                  <o:lock v:ext="edit" aspectratio="f"/>
                  <w10:wrap type="none"/>
                  <w10:anchorlock/>
                </v:shape>
                <o:OLEObject Type="Embed" ProgID="Visio.Drawing.15" ShapeID="_x0000_i1025" DrawAspect="Content" ObjectID="_1468075725" r:id="rId20">
                  <o:LockedField>false</o:LockedField>
                </o:OLEObject>
              </w:object>
            </w:r>
          </w:p>
          <w:p w14:paraId="3880F15A">
            <w:pPr>
              <w:keepNext w:val="0"/>
              <w:keepLines w:val="0"/>
              <w:pageBreakBefore w:val="0"/>
              <w:widowControl w:val="0"/>
              <w:kinsoku/>
              <w:wordWrap/>
              <w:overflowPunct/>
              <w:topLinePunct w:val="0"/>
              <w:autoSpaceDE/>
              <w:autoSpaceDN/>
              <w:bidi w:val="0"/>
              <w:adjustRightInd/>
              <w:snapToGrid w:val="0"/>
              <w:spacing w:after="157" w:afterLines="50" w:line="240" w:lineRule="auto"/>
              <w:jc w:val="center"/>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图</w:t>
            </w:r>
            <w:r>
              <w:rPr>
                <w:rFonts w:hint="eastAsia" w:cs="Times New Roman"/>
                <w:b/>
                <w:bCs/>
                <w:color w:val="000000"/>
                <w:sz w:val="24"/>
                <w:szCs w:val="24"/>
                <w:highlight w:val="none"/>
                <w:lang w:val="en-US" w:eastAsia="zh-CN"/>
              </w:rPr>
              <w:t>2-3</w:t>
            </w:r>
            <w:r>
              <w:rPr>
                <w:rFonts w:hint="default" w:ascii="Times New Roman" w:hAnsi="Times New Roman" w:eastAsia="宋体" w:cs="Times New Roman"/>
                <w:b/>
                <w:bCs/>
                <w:color w:val="000000"/>
                <w:sz w:val="24"/>
                <w:szCs w:val="24"/>
                <w:highlight w:val="none"/>
                <w:lang w:val="en-US" w:eastAsia="zh-CN"/>
              </w:rPr>
              <w:t xml:space="preserve"> </w:t>
            </w:r>
            <w:r>
              <w:rPr>
                <w:rFonts w:hint="eastAsia" w:cs="Times New Roman"/>
                <w:b/>
                <w:bCs/>
                <w:color w:val="000000"/>
                <w:sz w:val="24"/>
                <w:szCs w:val="24"/>
                <w:highlight w:val="none"/>
                <w:lang w:val="en-US" w:eastAsia="zh-CN"/>
              </w:rPr>
              <w:t xml:space="preserve"> </w:t>
            </w:r>
            <w:r>
              <w:rPr>
                <w:rFonts w:hint="default" w:ascii="Times New Roman" w:hAnsi="Times New Roman" w:eastAsia="宋体" w:cs="Times New Roman"/>
                <w:b/>
                <w:bCs/>
                <w:color w:val="000000"/>
                <w:sz w:val="24"/>
                <w:szCs w:val="24"/>
                <w:highlight w:val="none"/>
                <w:lang w:val="en-US" w:eastAsia="zh-CN"/>
              </w:rPr>
              <w:t>污、雨水收集池分流建设</w:t>
            </w:r>
            <w:r>
              <w:rPr>
                <w:rFonts w:hint="eastAsia" w:cs="Times New Roman"/>
                <w:b/>
                <w:bCs/>
                <w:color w:val="000000"/>
                <w:sz w:val="24"/>
                <w:szCs w:val="24"/>
                <w:highlight w:val="none"/>
                <w:lang w:val="en-US" w:eastAsia="zh-CN"/>
              </w:rPr>
              <w:t>原则</w:t>
            </w:r>
            <w:r>
              <w:rPr>
                <w:rFonts w:hint="default" w:ascii="Times New Roman" w:hAnsi="Times New Roman" w:eastAsia="宋体" w:cs="Times New Roman"/>
                <w:b/>
                <w:bCs/>
                <w:color w:val="000000"/>
                <w:sz w:val="24"/>
                <w:szCs w:val="24"/>
                <w:highlight w:val="none"/>
                <w:lang w:val="en-US" w:eastAsia="zh-CN"/>
              </w:rPr>
              <w:t>示意图</w:t>
            </w:r>
          </w:p>
          <w:p w14:paraId="75ED269C">
            <w:pPr>
              <w:spacing w:line="360" w:lineRule="auto"/>
              <w:ind w:firstLine="480" w:firstLineChars="200"/>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①开采区生产废水在平台处收集后通过管（渠）接入污水收集池，完全回用，不外排</w:t>
            </w:r>
            <w:r>
              <w:rPr>
                <w:rFonts w:hint="eastAsia" w:ascii="Times New Roman" w:hAnsi="Times New Roman" w:eastAsia="宋体" w:cs="Times New Roman"/>
                <w:b w:val="0"/>
                <w:bCs w:val="0"/>
                <w:color w:val="000000"/>
                <w:sz w:val="24"/>
                <w:szCs w:val="24"/>
                <w:highlight w:val="none"/>
                <w:lang w:val="en-US" w:eastAsia="zh-CN"/>
              </w:rPr>
              <w:t>；</w:t>
            </w:r>
          </w:p>
          <w:p w14:paraId="105055A4">
            <w:pPr>
              <w:spacing w:line="360" w:lineRule="auto"/>
              <w:ind w:firstLine="480" w:firstLineChars="200"/>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②雨天，当污水收集池内污水达到有效容积后，关掉进入污水收集池前的闸门，上游地表径流需进入初期雨水收集池，直到收集完上游初期雨水（本项目按照</w:t>
            </w:r>
            <w:r>
              <w:rPr>
                <w:rFonts w:hint="eastAsia" w:ascii="Times New Roman" w:hAnsi="Times New Roman" w:eastAsia="宋体" w:cs="Times New Roman"/>
                <w:b w:val="0"/>
                <w:bCs w:val="0"/>
                <w:color w:val="000000"/>
                <w:sz w:val="24"/>
                <w:szCs w:val="24"/>
                <w:highlight w:val="none"/>
                <w:lang w:val="en-US" w:eastAsia="zh-CN"/>
              </w:rPr>
              <w:t>300</w:t>
            </w:r>
            <w:r>
              <w:rPr>
                <w:rFonts w:hint="default" w:ascii="Times New Roman" w:hAnsi="Times New Roman" w:eastAsia="宋体" w:cs="Times New Roman"/>
                <w:b w:val="0"/>
                <w:bCs w:val="0"/>
                <w:color w:val="000000"/>
                <w:sz w:val="24"/>
                <w:szCs w:val="24"/>
                <w:highlight w:val="none"/>
                <w:lang w:val="en-US" w:eastAsia="zh-CN"/>
              </w:rPr>
              <w:t>mm雨水量进行收集）；</w:t>
            </w:r>
          </w:p>
          <w:p w14:paraId="6A300832">
            <w:pPr>
              <w:spacing w:line="360" w:lineRule="auto"/>
              <w:ind w:firstLine="480" w:firstLineChars="200"/>
              <w:rPr>
                <w:color w:val="000000"/>
                <w:sz w:val="24"/>
                <w:szCs w:val="24"/>
                <w:highlight w:val="none"/>
              </w:rPr>
            </w:pPr>
            <w:r>
              <w:rPr>
                <w:rFonts w:hint="default" w:ascii="Times New Roman" w:hAnsi="Times New Roman" w:eastAsia="宋体" w:cs="Times New Roman"/>
                <w:b w:val="0"/>
                <w:bCs w:val="0"/>
                <w:color w:val="000000"/>
                <w:sz w:val="24"/>
                <w:szCs w:val="24"/>
                <w:highlight w:val="none"/>
                <w:lang w:val="en-US" w:eastAsia="zh-CN"/>
              </w:rPr>
              <w:t>③暴雨情况下，初期雨水收集池内污雨水达到有效容积后，关闭初期雨水收集池前的闸门，打开泄洪口闸门，上游所有后期雨水通过泄洪口外排，减少山区雨水，保障下游居民安全。</w:t>
            </w:r>
          </w:p>
          <w:p w14:paraId="0413B2EA">
            <w:pPr>
              <w:spacing w:after="60" w:line="360" w:lineRule="auto"/>
              <w:ind w:firstLine="480" w:firstLineChars="200"/>
              <w:contextualSpacing/>
              <w:rPr>
                <w:rFonts w:hint="eastAsia" w:eastAsia="宋体"/>
                <w:color w:val="000000"/>
                <w:sz w:val="24"/>
                <w:szCs w:val="24"/>
                <w:highlight w:val="none"/>
                <w:lang w:eastAsia="zh-CN"/>
              </w:rPr>
            </w:pPr>
            <w:r>
              <w:rPr>
                <w:rFonts w:hint="eastAsia" w:cs="Times New Roman"/>
                <w:color w:val="000000"/>
                <w:sz w:val="24"/>
                <w:szCs w:val="24"/>
                <w:highlight w:val="none"/>
                <w:lang w:val="en-US" w:eastAsia="zh-CN"/>
              </w:rPr>
              <w:t>具体到C8</w:t>
            </w:r>
            <w:r>
              <w:rPr>
                <w:rFonts w:hint="eastAsia" w:cs="Times New Roman"/>
                <w:color w:val="000000"/>
                <w:sz w:val="24"/>
                <w:szCs w:val="24"/>
                <w:highlight w:val="none"/>
                <w:lang w:eastAsia="zh-CN"/>
              </w:rPr>
              <w:t>矿区的排水方式如下图所示。</w:t>
            </w:r>
          </w:p>
          <w:p w14:paraId="35053C62">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color w:val="000000"/>
                <w:sz w:val="24"/>
                <w:szCs w:val="24"/>
                <w:highlight w:val="none"/>
              </w:rPr>
            </w:pPr>
            <w:r>
              <w:rPr>
                <w:color w:val="000000"/>
                <w:sz w:val="24"/>
                <w:szCs w:val="24"/>
                <w:highlight w:val="none"/>
              </w:rPr>
              <w:object>
                <v:shape id="_x0000_i1026" o:spt="75" type="#_x0000_t75" style="height:331.25pt;width:364.55pt;" o:ole="t" filled="f" o:preferrelative="t" stroked="f" coordsize="21600,21600">
                  <v:path/>
                  <v:fill on="f" focussize="0,0"/>
                  <v:stroke on="f"/>
                  <v:imagedata r:id="rId23" o:title=""/>
                  <o:lock v:ext="edit" aspectratio="f"/>
                  <w10:wrap type="none"/>
                  <w10:anchorlock/>
                </v:shape>
                <o:OLEObject Type="Embed" ProgID="Visio.Drawing.15" ShapeID="_x0000_i1026" DrawAspect="Content" ObjectID="_1468075726" r:id="rId22">
                  <o:LockedField>false</o:LockedField>
                </o:OLEObject>
              </w:object>
            </w:r>
          </w:p>
          <w:p w14:paraId="627B674F">
            <w:pPr>
              <w:keepNext w:val="0"/>
              <w:keepLines w:val="0"/>
              <w:pageBreakBefore w:val="0"/>
              <w:widowControl w:val="0"/>
              <w:kinsoku/>
              <w:wordWrap/>
              <w:overflowPunct/>
              <w:topLinePunct w:val="0"/>
              <w:autoSpaceDE/>
              <w:autoSpaceDN/>
              <w:bidi w:val="0"/>
              <w:adjustRightInd/>
              <w:snapToGrid w:val="0"/>
              <w:spacing w:after="157" w:afterLines="50" w:line="240" w:lineRule="auto"/>
              <w:jc w:val="center"/>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图</w:t>
            </w:r>
            <w:r>
              <w:rPr>
                <w:rFonts w:hint="eastAsia" w:cs="Times New Roman"/>
                <w:b/>
                <w:bCs/>
                <w:color w:val="000000"/>
                <w:sz w:val="24"/>
                <w:szCs w:val="24"/>
                <w:highlight w:val="none"/>
                <w:lang w:val="en-US" w:eastAsia="zh-CN"/>
              </w:rPr>
              <w:t>4-3</w:t>
            </w:r>
            <w:r>
              <w:rPr>
                <w:rFonts w:hint="default" w:ascii="Times New Roman" w:hAnsi="Times New Roman" w:eastAsia="宋体" w:cs="Times New Roman"/>
                <w:b/>
                <w:bCs/>
                <w:color w:val="000000"/>
                <w:sz w:val="24"/>
                <w:szCs w:val="24"/>
                <w:highlight w:val="none"/>
                <w:lang w:val="en-US" w:eastAsia="zh-CN"/>
              </w:rPr>
              <w:t xml:space="preserve"> </w:t>
            </w:r>
            <w:r>
              <w:rPr>
                <w:rFonts w:hint="eastAsia" w:ascii="Times New Roman" w:hAnsi="Times New Roman" w:eastAsia="宋体" w:cs="Times New Roman"/>
                <w:b/>
                <w:bCs/>
                <w:color w:val="000000"/>
                <w:sz w:val="24"/>
                <w:szCs w:val="24"/>
                <w:highlight w:val="none"/>
                <w:lang w:val="en-US" w:eastAsia="zh-CN"/>
              </w:rPr>
              <w:t xml:space="preserve"> 本项目排水</w:t>
            </w:r>
            <w:r>
              <w:rPr>
                <w:rFonts w:hint="default" w:ascii="Times New Roman" w:hAnsi="Times New Roman" w:eastAsia="宋体" w:cs="Times New Roman"/>
                <w:b/>
                <w:bCs/>
                <w:color w:val="000000"/>
                <w:sz w:val="24"/>
                <w:szCs w:val="24"/>
                <w:highlight w:val="none"/>
                <w:lang w:val="en-US" w:eastAsia="zh-CN"/>
              </w:rPr>
              <w:t>流程示意图</w:t>
            </w:r>
          </w:p>
          <w:p w14:paraId="0666598A">
            <w:pPr>
              <w:spacing w:after="60" w:line="360" w:lineRule="auto"/>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①</w:t>
            </w:r>
            <w:r>
              <w:rPr>
                <w:rFonts w:hint="eastAsia" w:ascii="Times New Roman" w:hAnsi="Times New Roman" w:eastAsia="宋体" w:cs="Times New Roman"/>
                <w:b w:val="0"/>
                <w:bCs w:val="0"/>
                <w:color w:val="000000"/>
                <w:sz w:val="24"/>
                <w:szCs w:val="24"/>
                <w:highlight w:val="none"/>
                <w:lang w:val="en-US" w:eastAsia="zh-CN"/>
              </w:rPr>
              <w:t>开采平台上产生的生产废水及开采平台的雨水</w:t>
            </w:r>
            <w:r>
              <w:rPr>
                <w:rFonts w:hint="default" w:ascii="Times New Roman" w:hAnsi="Times New Roman" w:eastAsia="宋体" w:cs="Times New Roman"/>
                <w:b w:val="0"/>
                <w:bCs w:val="0"/>
                <w:color w:val="000000"/>
                <w:sz w:val="24"/>
                <w:szCs w:val="24"/>
                <w:highlight w:val="none"/>
                <w:lang w:val="en-US" w:eastAsia="zh-CN"/>
              </w:rPr>
              <w:t>收集后通过管（渠）接入污水收集池，</w:t>
            </w:r>
            <w:r>
              <w:rPr>
                <w:rFonts w:hint="eastAsia" w:ascii="Times New Roman" w:hAnsi="Times New Roman" w:eastAsia="宋体" w:cs="Times New Roman"/>
                <w:b w:val="0"/>
                <w:bCs w:val="0"/>
                <w:color w:val="000000"/>
                <w:sz w:val="24"/>
                <w:szCs w:val="24"/>
                <w:highlight w:val="none"/>
                <w:lang w:val="en-US" w:eastAsia="zh-CN"/>
              </w:rPr>
              <w:t>处理后</w:t>
            </w:r>
            <w:r>
              <w:rPr>
                <w:rFonts w:hint="default" w:ascii="Times New Roman" w:hAnsi="Times New Roman" w:eastAsia="宋体" w:cs="Times New Roman"/>
                <w:b w:val="0"/>
                <w:bCs w:val="0"/>
                <w:color w:val="000000"/>
                <w:sz w:val="24"/>
                <w:szCs w:val="24"/>
                <w:highlight w:val="none"/>
                <w:lang w:val="en-US" w:eastAsia="zh-CN"/>
              </w:rPr>
              <w:t>回用</w:t>
            </w:r>
            <w:r>
              <w:rPr>
                <w:rFonts w:hint="eastAsia" w:ascii="Times New Roman" w:hAnsi="Times New Roman" w:eastAsia="宋体" w:cs="Times New Roman"/>
                <w:b w:val="0"/>
                <w:bCs w:val="0"/>
                <w:color w:val="000000"/>
                <w:sz w:val="24"/>
                <w:szCs w:val="24"/>
                <w:highlight w:val="none"/>
                <w:lang w:val="en-US" w:eastAsia="zh-CN"/>
              </w:rPr>
              <w:t>；</w:t>
            </w:r>
          </w:p>
          <w:p w14:paraId="59BBD483">
            <w:pPr>
              <w:spacing w:after="60" w:line="360" w:lineRule="auto"/>
              <w:ind w:firstLine="480" w:firstLineChars="200"/>
              <w:contextualSpacing/>
              <w:rPr>
                <w:rFonts w:hint="eastAsia"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②</w:t>
            </w:r>
            <w:r>
              <w:rPr>
                <w:rFonts w:hint="eastAsia" w:ascii="Times New Roman" w:hAnsi="Times New Roman" w:eastAsia="宋体" w:cs="Times New Roman"/>
                <w:b w:val="0"/>
                <w:bCs w:val="0"/>
                <w:color w:val="000000"/>
                <w:sz w:val="24"/>
                <w:szCs w:val="24"/>
                <w:highlight w:val="none"/>
                <w:lang w:val="en-US" w:eastAsia="zh-CN"/>
              </w:rPr>
              <w:t>开采平台外的裸露坡面、道路的初期雨水（按300mm计）进入初期雨水处理系统处理，处理后回用于生产；开采平台外未裸露的坡面雨水无需收集。</w:t>
            </w:r>
          </w:p>
          <w:p w14:paraId="5B4961D6">
            <w:pPr>
              <w:spacing w:after="60" w:line="360" w:lineRule="auto"/>
              <w:ind w:firstLine="480" w:firstLineChars="200"/>
              <w:contextualSpacing/>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③暴雨情况下，</w:t>
            </w:r>
            <w:r>
              <w:rPr>
                <w:rFonts w:hint="eastAsia" w:ascii="Times New Roman" w:hAnsi="Times New Roman" w:eastAsia="宋体" w:cs="Times New Roman"/>
                <w:b w:val="0"/>
                <w:bCs w:val="0"/>
                <w:color w:val="000000"/>
                <w:sz w:val="24"/>
                <w:szCs w:val="24"/>
                <w:highlight w:val="none"/>
                <w:lang w:val="en-US" w:eastAsia="zh-CN"/>
              </w:rPr>
              <w:t>开采平台处污水多级沉淀池若无法完全收集雨水，未收集的部分雨水将进入山脚下初期雨水收集系统进行处理，通过两级处理系统，阻止含有较高SS浓度的雨水未经处理外排；</w:t>
            </w:r>
          </w:p>
          <w:p w14:paraId="77B3F4D5">
            <w:pPr>
              <w:keepNext w:val="0"/>
              <w:keepLines w:val="0"/>
              <w:pageBreakBefore w:val="0"/>
              <w:widowControl w:val="0"/>
              <w:kinsoku/>
              <w:wordWrap/>
              <w:overflowPunct/>
              <w:topLinePunct w:val="0"/>
              <w:autoSpaceDE/>
              <w:autoSpaceDN/>
              <w:bidi w:val="0"/>
              <w:adjustRightInd/>
              <w:spacing w:line="360" w:lineRule="auto"/>
              <w:ind w:firstLine="480" w:firstLineChars="200"/>
              <w:contextualSpacing/>
              <w:textAlignment w:val="auto"/>
              <w:rPr>
                <w:rFonts w:hint="default"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fldChar w:fldCharType="begin"/>
            </w:r>
            <w:r>
              <w:rPr>
                <w:rFonts w:hint="eastAsia" w:ascii="Times New Roman" w:hAnsi="Times New Roman" w:eastAsia="宋体" w:cs="Times New Roman"/>
                <w:b w:val="0"/>
                <w:bCs w:val="0"/>
                <w:color w:val="000000"/>
                <w:sz w:val="24"/>
                <w:szCs w:val="24"/>
                <w:highlight w:val="none"/>
                <w:lang w:val="en-US" w:eastAsia="zh-CN"/>
              </w:rPr>
              <w:instrText xml:space="preserve"> = 4 \* GB3 \* MERGEFORMAT </w:instrText>
            </w:r>
            <w:r>
              <w:rPr>
                <w:rFonts w:hint="eastAsia" w:ascii="Times New Roman" w:hAnsi="Times New Roman" w:eastAsia="宋体" w:cs="Times New Roman"/>
                <w:b w:val="0"/>
                <w:bCs w:val="0"/>
                <w:color w:val="000000"/>
                <w:sz w:val="24"/>
                <w:szCs w:val="24"/>
                <w:highlight w:val="none"/>
                <w:lang w:val="en-US" w:eastAsia="zh-CN"/>
              </w:rPr>
              <w:fldChar w:fldCharType="separate"/>
            </w:r>
            <w:r>
              <w:rPr>
                <w:rFonts w:hint="default" w:ascii="Times New Roman" w:hAnsi="Times New Roman" w:eastAsia="宋体" w:cs="Times New Roman"/>
                <w:b w:val="0"/>
                <w:bCs w:val="0"/>
                <w:color w:val="000000"/>
                <w:sz w:val="24"/>
                <w:szCs w:val="24"/>
                <w:highlight w:val="none"/>
                <w:lang w:val="en-US" w:eastAsia="zh-CN"/>
              </w:rPr>
              <w:t>④</w:t>
            </w:r>
            <w:r>
              <w:rPr>
                <w:rFonts w:hint="eastAsia" w:ascii="Times New Roman" w:hAnsi="Times New Roman" w:eastAsia="宋体" w:cs="Times New Roman"/>
                <w:b w:val="0"/>
                <w:bCs w:val="0"/>
                <w:color w:val="000000"/>
                <w:sz w:val="24"/>
                <w:szCs w:val="24"/>
                <w:highlight w:val="none"/>
                <w:lang w:val="en-US" w:eastAsia="zh-CN"/>
              </w:rPr>
              <w:fldChar w:fldCharType="end"/>
            </w:r>
            <w:r>
              <w:rPr>
                <w:rFonts w:hint="default" w:ascii="Times New Roman" w:hAnsi="Times New Roman" w:eastAsia="宋体" w:cs="Times New Roman"/>
                <w:b w:val="0"/>
                <w:bCs w:val="0"/>
                <w:color w:val="000000"/>
                <w:sz w:val="24"/>
                <w:szCs w:val="24"/>
                <w:highlight w:val="none"/>
                <w:lang w:val="en-US" w:eastAsia="zh-CN"/>
              </w:rPr>
              <w:t>暴雨情况下，初期雨水收集池内</w:t>
            </w:r>
            <w:r>
              <w:rPr>
                <w:rFonts w:hint="eastAsia" w:ascii="Times New Roman" w:hAnsi="Times New Roman" w:eastAsia="宋体" w:cs="Times New Roman"/>
                <w:b w:val="0"/>
                <w:bCs w:val="0"/>
                <w:color w:val="000000"/>
                <w:sz w:val="24"/>
                <w:szCs w:val="24"/>
                <w:highlight w:val="none"/>
                <w:lang w:val="en-US" w:eastAsia="zh-CN"/>
              </w:rPr>
              <w:t>的</w:t>
            </w:r>
            <w:r>
              <w:rPr>
                <w:rFonts w:hint="default" w:ascii="Times New Roman" w:hAnsi="Times New Roman" w:eastAsia="宋体" w:cs="Times New Roman"/>
                <w:b w:val="0"/>
                <w:bCs w:val="0"/>
                <w:color w:val="000000"/>
                <w:sz w:val="24"/>
                <w:szCs w:val="24"/>
                <w:highlight w:val="none"/>
                <w:lang w:val="en-US" w:eastAsia="zh-CN"/>
              </w:rPr>
              <w:t>污雨水达到有效容积后，</w:t>
            </w:r>
            <w:r>
              <w:rPr>
                <w:rFonts w:hint="eastAsia" w:ascii="Times New Roman" w:hAnsi="Times New Roman" w:eastAsia="宋体" w:cs="Times New Roman"/>
                <w:b w:val="0"/>
                <w:bCs w:val="0"/>
                <w:color w:val="000000"/>
                <w:sz w:val="24"/>
                <w:szCs w:val="24"/>
                <w:highlight w:val="none"/>
                <w:lang w:val="en-US" w:eastAsia="zh-CN"/>
              </w:rPr>
              <w:t>通过后备雨水池进行收集，后备雨水池</w:t>
            </w:r>
            <w:r>
              <w:rPr>
                <w:rFonts w:hint="default" w:ascii="Times New Roman" w:hAnsi="Times New Roman" w:eastAsia="宋体" w:cs="Times New Roman"/>
                <w:b w:val="0"/>
                <w:bCs w:val="0"/>
                <w:color w:val="000000"/>
                <w:sz w:val="24"/>
                <w:szCs w:val="24"/>
                <w:highlight w:val="none"/>
                <w:lang w:val="en-US" w:eastAsia="zh-CN"/>
              </w:rPr>
              <w:t>达到有效容积后</w:t>
            </w:r>
            <w:r>
              <w:rPr>
                <w:rFonts w:hint="eastAsia" w:cs="Times New Roman"/>
                <w:b w:val="0"/>
                <w:bCs w:val="0"/>
                <w:color w:val="000000"/>
                <w:sz w:val="24"/>
                <w:szCs w:val="24"/>
                <w:highlight w:val="none"/>
                <w:lang w:val="en-US" w:eastAsia="zh-CN"/>
              </w:rPr>
              <w:t>，</w:t>
            </w:r>
            <w:r>
              <w:rPr>
                <w:rFonts w:hint="default" w:ascii="Times New Roman" w:hAnsi="Times New Roman" w:eastAsia="宋体" w:cs="Times New Roman"/>
                <w:b w:val="0"/>
                <w:bCs w:val="0"/>
                <w:color w:val="000000"/>
                <w:sz w:val="24"/>
                <w:szCs w:val="24"/>
                <w:highlight w:val="none"/>
                <w:lang w:val="en-US" w:eastAsia="zh-CN"/>
              </w:rPr>
              <w:t>关闭初期雨水收集池前的闸门</w:t>
            </w:r>
            <w:r>
              <w:rPr>
                <w:rFonts w:hint="eastAsia" w:ascii="Times New Roman" w:hAnsi="Times New Roman" w:eastAsia="宋体" w:cs="Times New Roman"/>
                <w:b w:val="0"/>
                <w:bCs w:val="0"/>
                <w:color w:val="000000"/>
                <w:sz w:val="24"/>
                <w:szCs w:val="24"/>
                <w:highlight w:val="none"/>
                <w:lang w:val="en-US" w:eastAsia="zh-CN"/>
              </w:rPr>
              <w:t>，打开泄洪闸</w:t>
            </w:r>
            <w:r>
              <w:rPr>
                <w:rFonts w:hint="eastAsia" w:cs="Times New Roman"/>
                <w:b w:val="0"/>
                <w:bCs w:val="0"/>
                <w:color w:val="000000"/>
                <w:sz w:val="24"/>
                <w:szCs w:val="24"/>
                <w:highlight w:val="none"/>
                <w:lang w:val="en-US" w:eastAsia="zh-CN"/>
              </w:rPr>
              <w:t>，后期雨水进入麻溪河，最终汇入举水河。</w:t>
            </w:r>
          </w:p>
          <w:p w14:paraId="4CD672C3">
            <w:pPr>
              <w:keepNext w:val="0"/>
              <w:keepLines w:val="0"/>
              <w:pageBreakBefore w:val="0"/>
              <w:widowControl w:val="0"/>
              <w:kinsoku/>
              <w:wordWrap/>
              <w:overflowPunct/>
              <w:topLinePunct w:val="0"/>
              <w:autoSpaceDE/>
              <w:autoSpaceDN/>
              <w:bidi w:val="0"/>
              <w:adjustRightInd/>
              <w:snapToGrid w:val="0"/>
              <w:spacing w:line="360" w:lineRule="auto"/>
              <w:ind w:right="0" w:firstLine="602" w:firstLineChars="250"/>
              <w:jc w:val="both"/>
              <w:textAlignment w:val="auto"/>
              <w:rPr>
                <w:rFonts w:hint="default" w:ascii="Times New Roman" w:hAnsi="Times New Roman" w:eastAsia="宋体" w:cs="Times New Roman"/>
                <w:b/>
                <w:bCs w:val="0"/>
                <w:color w:val="000000"/>
                <w:sz w:val="24"/>
                <w:szCs w:val="24"/>
                <w:highlight w:val="none"/>
                <w:lang w:val="en-US" w:eastAsia="zh-CN"/>
              </w:rPr>
            </w:pPr>
            <w:r>
              <w:rPr>
                <w:rFonts w:hint="eastAsia" w:ascii="Times New Roman" w:hAnsi="Times New Roman" w:eastAsia="宋体" w:cs="Times New Roman"/>
                <w:b/>
                <w:bCs w:val="0"/>
                <w:color w:val="000000"/>
                <w:sz w:val="24"/>
                <w:szCs w:val="24"/>
                <w:highlight w:val="none"/>
                <w:lang w:val="en-US" w:eastAsia="zh-CN"/>
              </w:rPr>
              <w:t>雨水核算</w:t>
            </w:r>
          </w:p>
          <w:p w14:paraId="3F051B89">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根据现有地表径流流向，白鸭山矿区分为王家山脚流域、凌家湾流域、元昌流域、胡家洞流域、甘家洞流域、长冲流域六个流域。按照区域，六个流域细分为1号凌家湾流域-佳一达富片区、2号凌家湾流域国福永华片区、3号凌家湾流域-福盛片区、4号元昌流域-显套湾及大湾片区、5号元昌流域-嘉丰及华东片区、6号胡家洞流域-湖家洞片区、</w:t>
            </w:r>
            <w:r>
              <w:rPr>
                <w:rFonts w:hint="eastAsia" w:ascii="Times New Roman" w:hAnsi="Times New Roman" w:cs="Times New Roman"/>
                <w:b w:val="0"/>
                <w:bCs/>
                <w:color w:val="000000"/>
                <w:sz w:val="24"/>
                <w:szCs w:val="24"/>
                <w:lang w:val="en-US" w:eastAsia="zh-CN"/>
              </w:rPr>
              <w:t>7号胡家洞流域-赵家湾片区、</w:t>
            </w:r>
            <w:r>
              <w:rPr>
                <w:rFonts w:hint="eastAsia" w:ascii="Times New Roman" w:hAnsi="Times New Roman" w:eastAsia="宋体" w:cs="Times New Roman"/>
                <w:color w:val="000000"/>
                <w:kern w:val="0"/>
                <w:sz w:val="24"/>
                <w:szCs w:val="24"/>
                <w:highlight w:val="none"/>
                <w:lang w:val="en-US" w:eastAsia="zh-CN" w:bidi="ar"/>
              </w:rPr>
              <w:t>8号胡家洞流域-大坝片区、9号森磊流域、10号长冲村流域-菊源片区。</w:t>
            </w:r>
          </w:p>
          <w:p w14:paraId="763F9FAD">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C8矿区主要汇水方向为元昌流域，涉及4号元昌流域-显套湾及大湾片区和5号元昌流域-嘉丰及华东片区。</w:t>
            </w:r>
            <w:r>
              <w:rPr>
                <w:rFonts w:hint="eastAsia" w:ascii="Times New Roman" w:hAnsi="Times New Roman" w:eastAsia="宋体" w:cs="Times New Roman"/>
                <w:b w:val="0"/>
                <w:bCs w:val="0"/>
                <w:color w:val="000000"/>
                <w:kern w:val="0"/>
                <w:sz w:val="24"/>
                <w:szCs w:val="24"/>
                <w:highlight w:val="none"/>
                <w:lang w:val="en-US" w:eastAsia="zh-CN" w:bidi="ar"/>
              </w:rPr>
              <w:t>鉴于白鸭山地形地势，C8矿区与C5矿区相邻且地势较低，初期雨水池需收集部分C5矿区初期雨水。</w:t>
            </w:r>
          </w:p>
          <w:p w14:paraId="5047B70A">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Cs/>
                <w:snapToGrid w:val="0"/>
                <w:color w:val="000000"/>
                <w:kern w:val="0"/>
                <w:sz w:val="24"/>
                <w:szCs w:val="24"/>
                <w:highlight w:val="none"/>
                <w:lang w:val="en-US" w:eastAsia="zh-CN" w:bidi="ar-SA"/>
              </w:rPr>
            </w:pPr>
            <w:r>
              <w:rPr>
                <w:rFonts w:hint="eastAsia" w:ascii="Times New Roman" w:hAnsi="Times New Roman" w:eastAsia="宋体" w:cs="Times New Roman"/>
                <w:bCs/>
                <w:snapToGrid w:val="0"/>
                <w:color w:val="000000"/>
                <w:kern w:val="0"/>
                <w:sz w:val="24"/>
                <w:szCs w:val="24"/>
                <w:highlight w:val="none"/>
                <w:lang w:val="en-US" w:eastAsia="zh-CN" w:bidi="ar-SA"/>
              </w:rPr>
              <w:fldChar w:fldCharType="begin"/>
            </w:r>
            <w:r>
              <w:rPr>
                <w:rFonts w:hint="eastAsia" w:ascii="Times New Roman" w:hAnsi="Times New Roman" w:eastAsia="宋体" w:cs="Times New Roman"/>
                <w:bCs/>
                <w:snapToGrid w:val="0"/>
                <w:color w:val="000000"/>
                <w:kern w:val="0"/>
                <w:sz w:val="24"/>
                <w:szCs w:val="24"/>
                <w:highlight w:val="none"/>
                <w:lang w:val="en-US" w:eastAsia="zh-CN" w:bidi="ar-SA"/>
              </w:rPr>
              <w:instrText xml:space="preserve"> = 1 \* GB3 \* MERGEFORMAT </w:instrText>
            </w:r>
            <w:r>
              <w:rPr>
                <w:rFonts w:hint="eastAsia" w:ascii="Times New Roman" w:hAnsi="Times New Roman" w:eastAsia="宋体" w:cs="Times New Roman"/>
                <w:bCs/>
                <w:snapToGrid w:val="0"/>
                <w:color w:val="000000"/>
                <w:kern w:val="0"/>
                <w:sz w:val="24"/>
                <w:szCs w:val="24"/>
                <w:highlight w:val="none"/>
                <w:lang w:val="en-US" w:eastAsia="zh-CN" w:bidi="ar-SA"/>
              </w:rPr>
              <w:fldChar w:fldCharType="separate"/>
            </w:r>
            <w:r>
              <w:rPr>
                <w:color w:val="000000"/>
                <w:sz w:val="24"/>
                <w:szCs w:val="24"/>
                <w:highlight w:val="none"/>
              </w:rPr>
              <w:t>①</w:t>
            </w:r>
            <w:r>
              <w:rPr>
                <w:rFonts w:hint="eastAsia" w:ascii="Times New Roman" w:hAnsi="Times New Roman" w:eastAsia="宋体" w:cs="Times New Roman"/>
                <w:bCs/>
                <w:snapToGrid w:val="0"/>
                <w:color w:val="000000"/>
                <w:kern w:val="0"/>
                <w:sz w:val="24"/>
                <w:szCs w:val="24"/>
                <w:highlight w:val="none"/>
                <w:lang w:val="en-US" w:eastAsia="zh-CN" w:bidi="ar-SA"/>
              </w:rPr>
              <w:fldChar w:fldCharType="end"/>
            </w:r>
            <w:r>
              <w:rPr>
                <w:rFonts w:hint="eastAsia" w:ascii="Times New Roman" w:hAnsi="Times New Roman" w:eastAsia="宋体" w:cs="Times New Roman"/>
                <w:bCs/>
                <w:snapToGrid w:val="0"/>
                <w:color w:val="000000"/>
                <w:kern w:val="0"/>
                <w:sz w:val="24"/>
                <w:szCs w:val="24"/>
                <w:highlight w:val="none"/>
                <w:lang w:val="en-US" w:eastAsia="zh-CN" w:bidi="ar-SA"/>
              </w:rPr>
              <w:t>初期雨水池容积的确定</w:t>
            </w:r>
          </w:p>
          <w:p w14:paraId="6D9C5445">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bCs/>
                <w:snapToGrid w:val="0"/>
                <w:color w:val="000000"/>
                <w:kern w:val="0"/>
                <w:sz w:val="24"/>
                <w:szCs w:val="24"/>
                <w:highlight w:val="none"/>
                <w:lang w:val="en-US" w:eastAsia="zh-CN" w:bidi="ar-SA"/>
              </w:rPr>
            </w:pPr>
            <w:r>
              <w:rPr>
                <w:rFonts w:hint="eastAsia" w:ascii="Times New Roman" w:hAnsi="Times New Roman" w:eastAsia="宋体" w:cs="Times New Roman"/>
                <w:bCs/>
                <w:snapToGrid w:val="0"/>
                <w:color w:val="000000"/>
                <w:kern w:val="0"/>
                <w:sz w:val="24"/>
                <w:szCs w:val="24"/>
                <w:highlight w:val="none"/>
                <w:lang w:val="en-US" w:eastAsia="zh-CN" w:bidi="ar-SA"/>
              </w:rPr>
              <w:t>根据《化工建设项目环境保护设计标准》（</w:t>
            </w:r>
            <w:r>
              <w:rPr>
                <w:rFonts w:hint="default" w:ascii="Times New Roman" w:hAnsi="Times New Roman" w:eastAsia="宋体" w:cs="Times New Roman"/>
                <w:bCs/>
                <w:snapToGrid w:val="0"/>
                <w:color w:val="000000"/>
                <w:kern w:val="0"/>
                <w:sz w:val="24"/>
                <w:szCs w:val="24"/>
                <w:highlight w:val="none"/>
                <w:lang w:val="en-US" w:eastAsia="zh-CN" w:bidi="ar-SA"/>
              </w:rPr>
              <w:t>GB 50483-2019</w:t>
            </w:r>
            <w:r>
              <w:rPr>
                <w:rFonts w:hint="eastAsia" w:ascii="Times New Roman" w:hAnsi="Times New Roman" w:eastAsia="宋体" w:cs="Times New Roman"/>
                <w:bCs/>
                <w:snapToGrid w:val="0"/>
                <w:color w:val="000000"/>
                <w:kern w:val="0"/>
                <w:sz w:val="24"/>
                <w:szCs w:val="24"/>
                <w:highlight w:val="none"/>
                <w:lang w:val="en-US" w:eastAsia="zh-CN" w:bidi="ar-SA"/>
              </w:rPr>
              <w:t>），初期雨水指污染区域降雨初期产生的雨水。宜取一次降雨初期</w:t>
            </w:r>
            <w:r>
              <w:rPr>
                <w:rFonts w:hint="default" w:ascii="Times New Roman" w:hAnsi="Times New Roman" w:eastAsia="宋体" w:cs="Times New Roman"/>
                <w:bCs/>
                <w:snapToGrid w:val="0"/>
                <w:color w:val="000000"/>
                <w:kern w:val="0"/>
                <w:sz w:val="24"/>
                <w:szCs w:val="24"/>
                <w:highlight w:val="none"/>
                <w:lang w:val="en-US" w:eastAsia="zh-CN" w:bidi="ar-SA"/>
              </w:rPr>
              <w:t>15min</w:t>
            </w:r>
            <w:r>
              <w:rPr>
                <w:rFonts w:hint="eastAsia" w:ascii="Times New Roman" w:hAnsi="Times New Roman" w:eastAsia="宋体" w:cs="Times New Roman"/>
                <w:bCs/>
                <w:snapToGrid w:val="0"/>
                <w:color w:val="000000"/>
                <w:kern w:val="0"/>
                <w:sz w:val="24"/>
                <w:szCs w:val="24"/>
                <w:highlight w:val="none"/>
                <w:lang w:val="en-US" w:eastAsia="zh-CN" w:bidi="ar-SA"/>
              </w:rPr>
              <w:t>～</w:t>
            </w:r>
            <w:r>
              <w:rPr>
                <w:rFonts w:hint="default" w:ascii="Times New Roman" w:hAnsi="Times New Roman" w:eastAsia="宋体" w:cs="Times New Roman"/>
                <w:bCs/>
                <w:snapToGrid w:val="0"/>
                <w:color w:val="000000"/>
                <w:kern w:val="0"/>
                <w:sz w:val="24"/>
                <w:szCs w:val="24"/>
                <w:highlight w:val="none"/>
                <w:lang w:val="en-US" w:eastAsia="zh-CN" w:bidi="ar-SA"/>
              </w:rPr>
              <w:t>30min</w:t>
            </w:r>
            <w:r>
              <w:rPr>
                <w:rFonts w:hint="eastAsia" w:ascii="Times New Roman" w:hAnsi="Times New Roman" w:eastAsia="宋体" w:cs="Times New Roman"/>
                <w:bCs/>
                <w:snapToGrid w:val="0"/>
                <w:color w:val="000000"/>
                <w:kern w:val="0"/>
                <w:sz w:val="24"/>
                <w:szCs w:val="24"/>
                <w:highlight w:val="none"/>
                <w:lang w:val="en-US" w:eastAsia="zh-CN" w:bidi="ar-SA"/>
              </w:rPr>
              <w:t>雨量，或降雨初期</w:t>
            </w:r>
            <w:r>
              <w:rPr>
                <w:rFonts w:hint="default" w:ascii="Times New Roman" w:hAnsi="Times New Roman" w:eastAsia="宋体" w:cs="Times New Roman"/>
                <w:bCs/>
                <w:snapToGrid w:val="0"/>
                <w:color w:val="000000"/>
                <w:kern w:val="0"/>
                <w:sz w:val="24"/>
                <w:szCs w:val="24"/>
                <w:highlight w:val="none"/>
                <w:lang w:val="en-US" w:eastAsia="zh-CN" w:bidi="ar-SA"/>
              </w:rPr>
              <w:t>20mm</w:t>
            </w:r>
            <w:r>
              <w:rPr>
                <w:rFonts w:hint="eastAsia" w:ascii="Times New Roman" w:hAnsi="Times New Roman" w:eastAsia="宋体" w:cs="Times New Roman"/>
                <w:bCs/>
                <w:snapToGrid w:val="0"/>
                <w:color w:val="000000"/>
                <w:kern w:val="0"/>
                <w:sz w:val="24"/>
                <w:szCs w:val="24"/>
                <w:highlight w:val="none"/>
                <w:lang w:val="en-US" w:eastAsia="zh-CN" w:bidi="ar-SA"/>
              </w:rPr>
              <w:t>～</w:t>
            </w:r>
            <w:r>
              <w:rPr>
                <w:rFonts w:hint="default" w:ascii="Times New Roman" w:hAnsi="Times New Roman" w:eastAsia="宋体" w:cs="Times New Roman"/>
                <w:bCs/>
                <w:snapToGrid w:val="0"/>
                <w:color w:val="000000"/>
                <w:kern w:val="0"/>
                <w:sz w:val="24"/>
                <w:szCs w:val="24"/>
                <w:highlight w:val="none"/>
                <w:lang w:val="en-US" w:eastAsia="zh-CN" w:bidi="ar-SA"/>
              </w:rPr>
              <w:t>30mm</w:t>
            </w:r>
            <w:r>
              <w:rPr>
                <w:rFonts w:hint="eastAsia" w:ascii="Times New Roman" w:hAnsi="Times New Roman" w:eastAsia="宋体" w:cs="Times New Roman"/>
                <w:bCs/>
                <w:snapToGrid w:val="0"/>
                <w:color w:val="000000"/>
                <w:kern w:val="0"/>
                <w:sz w:val="24"/>
                <w:szCs w:val="24"/>
                <w:highlight w:val="none"/>
                <w:lang w:val="en-US" w:eastAsia="zh-CN" w:bidi="ar-SA"/>
              </w:rPr>
              <w:t>厚度的雨量（以上参数一般适用于硬化地面区域，实际下渗情况较大区域雨水收集量需乘以径流系数）。</w:t>
            </w:r>
          </w:p>
          <w:p w14:paraId="402E7FF7">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Cs/>
                <w:snapToGrid w:val="0"/>
                <w:color w:val="000000"/>
                <w:kern w:val="0"/>
                <w:sz w:val="24"/>
                <w:szCs w:val="24"/>
                <w:highlight w:val="none"/>
                <w:lang w:val="en-US" w:eastAsia="zh-CN" w:bidi="ar-SA"/>
              </w:rPr>
            </w:pPr>
            <w:r>
              <w:rPr>
                <w:rFonts w:hint="eastAsia" w:cs="Times New Roman"/>
                <w:bCs/>
                <w:snapToGrid w:val="0"/>
                <w:color w:val="000000"/>
                <w:kern w:val="0"/>
                <w:sz w:val="24"/>
                <w:szCs w:val="24"/>
                <w:highlight w:val="none"/>
                <w:lang w:val="en-US" w:eastAsia="zh-CN" w:bidi="ar-SA"/>
              </w:rPr>
              <w:t>根据矿山开采的实际情况，收集的初期雨水主要来自开采平台外裸露坡面及道路等降雨时易产生较高SS浓度的区域，地表径流系数取0.6。</w:t>
            </w:r>
            <w:r>
              <w:rPr>
                <w:rFonts w:hint="eastAsia" w:ascii="Times New Roman" w:hAnsi="Times New Roman" w:eastAsia="宋体" w:cs="Times New Roman"/>
                <w:bCs/>
                <w:snapToGrid w:val="0"/>
                <w:color w:val="000000"/>
                <w:kern w:val="0"/>
                <w:sz w:val="24"/>
                <w:szCs w:val="24"/>
                <w:highlight w:val="none"/>
                <w:lang w:val="en-US" w:eastAsia="zh-CN" w:bidi="ar-SA"/>
              </w:rPr>
              <w:t>根据</w:t>
            </w:r>
            <w:r>
              <w:rPr>
                <w:rFonts w:hint="eastAsia" w:cs="Times New Roman"/>
                <w:bCs/>
                <w:snapToGrid w:val="0"/>
                <w:color w:val="000000"/>
                <w:kern w:val="0"/>
                <w:sz w:val="24"/>
                <w:szCs w:val="24"/>
                <w:highlight w:val="none"/>
                <w:lang w:val="en-US" w:eastAsia="zh-CN" w:bidi="ar-SA"/>
              </w:rPr>
              <w:t>企业提供资料</w:t>
            </w:r>
            <w:r>
              <w:rPr>
                <w:rFonts w:hint="eastAsia" w:ascii="Times New Roman" w:hAnsi="Times New Roman" w:eastAsia="宋体" w:cs="Times New Roman"/>
                <w:bCs/>
                <w:snapToGrid w:val="0"/>
                <w:color w:val="000000"/>
                <w:kern w:val="0"/>
                <w:sz w:val="24"/>
                <w:szCs w:val="24"/>
                <w:highlight w:val="none"/>
                <w:lang w:val="en-US" w:eastAsia="zh-CN" w:bidi="ar-SA"/>
              </w:rPr>
              <w:t>，本项目汇水面积及系数如下表所示：</w:t>
            </w:r>
          </w:p>
          <w:p w14:paraId="468DE56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snapToGrid w:val="0"/>
                <w:color w:val="000000"/>
                <w:kern w:val="0"/>
                <w:sz w:val="24"/>
                <w:szCs w:val="24"/>
                <w:highlight w:val="none"/>
                <w:lang w:val="en-US" w:eastAsia="zh-CN" w:bidi="ar-SA"/>
              </w:rPr>
            </w:pPr>
            <w:r>
              <w:rPr>
                <w:rFonts w:hint="eastAsia" w:ascii="Times New Roman" w:hAnsi="Times New Roman" w:eastAsia="宋体" w:cs="Times New Roman"/>
                <w:b/>
                <w:bCs w:val="0"/>
                <w:snapToGrid w:val="0"/>
                <w:color w:val="000000"/>
                <w:kern w:val="0"/>
                <w:sz w:val="24"/>
                <w:szCs w:val="24"/>
                <w:highlight w:val="none"/>
                <w:lang w:val="en-US" w:eastAsia="zh-CN" w:bidi="ar-SA"/>
              </w:rPr>
              <w:t>表</w:t>
            </w:r>
            <w:r>
              <w:rPr>
                <w:rFonts w:hint="eastAsia" w:cs="Times New Roman"/>
                <w:b/>
                <w:bCs w:val="0"/>
                <w:snapToGrid w:val="0"/>
                <w:color w:val="000000"/>
                <w:kern w:val="0"/>
                <w:sz w:val="24"/>
                <w:szCs w:val="24"/>
                <w:highlight w:val="none"/>
                <w:lang w:val="en-US" w:eastAsia="zh-CN" w:bidi="ar-SA"/>
              </w:rPr>
              <w:t xml:space="preserve">4-7 </w:t>
            </w:r>
            <w:r>
              <w:rPr>
                <w:rFonts w:hint="default" w:ascii="Times New Roman" w:hAnsi="Times New Roman" w:eastAsia="宋体" w:cs="Times New Roman"/>
                <w:b/>
                <w:bCs w:val="0"/>
                <w:snapToGrid w:val="0"/>
                <w:color w:val="000000"/>
                <w:kern w:val="0"/>
                <w:sz w:val="24"/>
                <w:szCs w:val="24"/>
                <w:highlight w:val="none"/>
                <w:lang w:val="en-US" w:eastAsia="zh-CN" w:bidi="ar-SA"/>
              </w:rPr>
              <w:t xml:space="preserve"> </w:t>
            </w:r>
            <w:r>
              <w:rPr>
                <w:rFonts w:hint="eastAsia" w:ascii="Times New Roman" w:hAnsi="Times New Roman" w:eastAsia="宋体" w:cs="Times New Roman"/>
                <w:b/>
                <w:bCs w:val="0"/>
                <w:snapToGrid w:val="0"/>
                <w:color w:val="000000"/>
                <w:kern w:val="0"/>
                <w:sz w:val="24"/>
                <w:szCs w:val="24"/>
                <w:highlight w:val="none"/>
                <w:lang w:val="en-US" w:eastAsia="zh-CN" w:bidi="ar-SA"/>
              </w:rPr>
              <w:t>汇水面积及地表径流系数情况表</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36"/>
            </w:tblGrid>
            <w:tr w14:paraId="5D5D4A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76" w:type="pct"/>
                  <w:tcBorders>
                    <w:top w:val="single" w:color="auto" w:sz="12" w:space="0"/>
                    <w:bottom w:val="single" w:color="auto" w:sz="12" w:space="0"/>
                  </w:tcBorders>
                  <w:noWrap w:val="0"/>
                  <w:vAlign w:val="center"/>
                </w:tcPr>
                <w:p w14:paraId="26B967FA">
                  <w:pPr>
                    <w:keepNext w:val="0"/>
                    <w:keepLines w:val="0"/>
                    <w:pageBreakBefore w:val="0"/>
                    <w:widowControl w:val="0"/>
                    <w:suppressLineNumbers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z w:val="18"/>
                      <w:szCs w:val="18"/>
                      <w:highlight w:val="none"/>
                      <w:vertAlign w:val="baseline"/>
                      <w:lang w:val="en-US" w:eastAsia="zh-CN"/>
                    </w:rPr>
                  </w:pPr>
                  <w:r>
                    <w:rPr>
                      <w:rFonts w:hint="eastAsia" w:cs="Times New Roman"/>
                      <w:b w:val="0"/>
                      <w:bCs w:val="0"/>
                      <w:color w:val="000000"/>
                      <w:kern w:val="0"/>
                      <w:sz w:val="18"/>
                      <w:szCs w:val="18"/>
                      <w:lang w:val="en-US" w:eastAsia="zh-CN" w:bidi="ar"/>
                    </w:rPr>
                    <w:t>汇水</w:t>
                  </w:r>
                  <w:r>
                    <w:rPr>
                      <w:rFonts w:hint="default" w:ascii="Times New Roman" w:hAnsi="Times New Roman" w:eastAsia="宋体" w:cs="Times New Roman"/>
                      <w:b w:val="0"/>
                      <w:bCs w:val="0"/>
                      <w:color w:val="000000"/>
                      <w:kern w:val="0"/>
                      <w:sz w:val="18"/>
                      <w:szCs w:val="18"/>
                      <w:lang w:val="en-US" w:eastAsia="zh-CN" w:bidi="ar"/>
                    </w:rPr>
                    <w:t>面积（</w:t>
                  </w:r>
                  <w:r>
                    <w:rPr>
                      <w:rFonts w:hint="eastAsia" w:cs="Times New Roman"/>
                      <w:b w:val="0"/>
                      <w:bCs w:val="0"/>
                      <w:color w:val="000000"/>
                      <w:kern w:val="0"/>
                      <w:sz w:val="18"/>
                      <w:szCs w:val="18"/>
                      <w:lang w:val="en-US" w:eastAsia="zh-CN" w:bidi="ar"/>
                    </w:rPr>
                    <w:t>m</w:t>
                  </w:r>
                  <w:r>
                    <w:rPr>
                      <w:rFonts w:hint="eastAsia" w:cs="Times New Roman"/>
                      <w:b w:val="0"/>
                      <w:bCs w:val="0"/>
                      <w:color w:val="000000"/>
                      <w:kern w:val="0"/>
                      <w:sz w:val="18"/>
                      <w:szCs w:val="18"/>
                      <w:vertAlign w:val="superscript"/>
                      <w:lang w:val="en-US" w:eastAsia="zh-CN" w:bidi="ar"/>
                    </w:rPr>
                    <w:t>2</w:t>
                  </w:r>
                  <w:r>
                    <w:rPr>
                      <w:rFonts w:hint="default" w:ascii="Times New Roman" w:hAnsi="Times New Roman" w:eastAsia="宋体" w:cs="Times New Roman"/>
                      <w:b w:val="0"/>
                      <w:bCs w:val="0"/>
                      <w:color w:val="000000"/>
                      <w:kern w:val="0"/>
                      <w:sz w:val="18"/>
                      <w:szCs w:val="18"/>
                      <w:lang w:val="en-US" w:eastAsia="zh-CN" w:bidi="ar"/>
                    </w:rPr>
                    <w:t>）</w:t>
                  </w:r>
                </w:p>
              </w:tc>
              <w:tc>
                <w:tcPr>
                  <w:tcW w:w="2523" w:type="pct"/>
                  <w:tcBorders>
                    <w:top w:val="single" w:color="auto" w:sz="12" w:space="0"/>
                    <w:bottom w:val="single" w:color="auto" w:sz="12" w:space="0"/>
                  </w:tcBorders>
                  <w:noWrap w:val="0"/>
                  <w:vAlign w:val="center"/>
                </w:tcPr>
                <w:p w14:paraId="75BF0F1B">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val="0"/>
                      <w:bCs w:val="0"/>
                      <w:color w:val="000000"/>
                      <w:sz w:val="18"/>
                      <w:szCs w:val="18"/>
                      <w:highlight w:val="none"/>
                      <w:vertAlign w:val="baseline"/>
                      <w:lang w:val="en-US" w:eastAsia="zh-CN"/>
                    </w:rPr>
                  </w:pPr>
                  <w:r>
                    <w:rPr>
                      <w:rFonts w:hint="default" w:ascii="Times New Roman" w:hAnsi="Times New Roman" w:eastAsia="宋体" w:cs="Times New Roman"/>
                      <w:b w:val="0"/>
                      <w:bCs w:val="0"/>
                      <w:color w:val="000000"/>
                      <w:kern w:val="0"/>
                      <w:sz w:val="18"/>
                      <w:szCs w:val="18"/>
                      <w:lang w:val="en-US" w:eastAsia="zh-CN" w:bidi="ar"/>
                    </w:rPr>
                    <w:t>地表径流系数</w:t>
                  </w:r>
                </w:p>
              </w:tc>
            </w:tr>
            <w:tr w14:paraId="692254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76" w:type="pct"/>
                  <w:tcBorders>
                    <w:top w:val="single" w:color="auto" w:sz="12" w:space="0"/>
                    <w:bottom w:val="single" w:color="auto" w:sz="12" w:space="0"/>
                  </w:tcBorders>
                  <w:noWrap w:val="0"/>
                  <w:vAlign w:val="center"/>
                </w:tcPr>
                <w:p w14:paraId="702586FD">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val="0"/>
                      <w:bCs w:val="0"/>
                      <w:color w:val="000000"/>
                      <w:sz w:val="18"/>
                      <w:szCs w:val="18"/>
                      <w:highlight w:val="none"/>
                      <w:vertAlign w:val="baseline"/>
                      <w:lang w:val="en-US" w:eastAsia="zh-CN"/>
                    </w:rPr>
                  </w:pPr>
                  <w:r>
                    <w:rPr>
                      <w:rFonts w:hint="eastAsia" w:cs="Times New Roman"/>
                      <w:b w:val="0"/>
                      <w:bCs w:val="0"/>
                      <w:snapToGrid w:val="0"/>
                      <w:color w:val="000000"/>
                      <w:kern w:val="0"/>
                      <w:sz w:val="18"/>
                      <w:szCs w:val="18"/>
                      <w:highlight w:val="none"/>
                      <w:lang w:val="en-US" w:eastAsia="zh-CN" w:bidi="ar-SA"/>
                    </w:rPr>
                    <w:t>414828</w:t>
                  </w:r>
                </w:p>
              </w:tc>
              <w:tc>
                <w:tcPr>
                  <w:tcW w:w="2523" w:type="pct"/>
                  <w:tcBorders>
                    <w:top w:val="single" w:color="auto" w:sz="12" w:space="0"/>
                    <w:bottom w:val="single" w:color="auto" w:sz="12" w:space="0"/>
                  </w:tcBorders>
                  <w:noWrap w:val="0"/>
                  <w:vAlign w:val="center"/>
                </w:tcPr>
                <w:p w14:paraId="0CD23536">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val="0"/>
                      <w:bCs w:val="0"/>
                      <w:color w:val="000000"/>
                      <w:sz w:val="18"/>
                      <w:szCs w:val="18"/>
                      <w:highlight w:val="none"/>
                      <w:vertAlign w:val="baseline"/>
                      <w:lang w:val="en-US" w:eastAsia="zh-CN"/>
                    </w:rPr>
                  </w:pPr>
                  <w:r>
                    <w:rPr>
                      <w:rFonts w:hint="eastAsia" w:cs="Times New Roman"/>
                      <w:b w:val="0"/>
                      <w:bCs w:val="0"/>
                      <w:color w:val="000000"/>
                      <w:sz w:val="18"/>
                      <w:szCs w:val="18"/>
                      <w:highlight w:val="none"/>
                      <w:vertAlign w:val="baseline"/>
                      <w:lang w:val="en-US" w:eastAsia="zh-CN"/>
                    </w:rPr>
                    <w:t>0.6</w:t>
                  </w:r>
                </w:p>
              </w:tc>
            </w:tr>
          </w:tbl>
          <w:p w14:paraId="68BF8AC8">
            <w:pPr>
              <w:keepNext w:val="0"/>
              <w:keepLines w:val="0"/>
              <w:pageBreakBefore w:val="0"/>
              <w:widowControl w:val="0"/>
              <w:suppressLineNumbers w:val="0"/>
              <w:kinsoku/>
              <w:wordWrap/>
              <w:overflowPunct/>
              <w:topLinePunct w:val="0"/>
              <w:autoSpaceDE/>
              <w:autoSpaceDN/>
              <w:bidi w:val="0"/>
              <w:adjustRightInd/>
              <w:snapToGrid w:val="0"/>
              <w:spacing w:before="157" w:beforeLines="50" w:line="360" w:lineRule="auto"/>
              <w:ind w:firstLine="480" w:firstLineChars="200"/>
              <w:jc w:val="both"/>
              <w:textAlignment w:val="auto"/>
              <w:rPr>
                <w:rFonts w:hint="eastAsia" w:ascii="Times New Roman" w:hAnsi="Times New Roman" w:eastAsia="宋体" w:cs="Times New Roman"/>
                <w:bCs/>
                <w:snapToGrid w:val="0"/>
                <w:color w:val="000000"/>
                <w:kern w:val="0"/>
                <w:sz w:val="24"/>
                <w:szCs w:val="24"/>
                <w:highlight w:val="none"/>
                <w:lang w:val="en-US" w:eastAsia="zh-CN" w:bidi="ar-SA"/>
              </w:rPr>
            </w:pPr>
            <w:r>
              <w:rPr>
                <w:rFonts w:hint="eastAsia" w:ascii="Times New Roman" w:hAnsi="Times New Roman" w:eastAsia="宋体" w:cs="Times New Roman"/>
                <w:bCs/>
                <w:snapToGrid w:val="0"/>
                <w:color w:val="000000"/>
                <w:kern w:val="0"/>
                <w:sz w:val="24"/>
                <w:szCs w:val="24"/>
                <w:highlight w:val="none"/>
                <w:lang w:val="en-US" w:eastAsia="zh-CN" w:bidi="ar-SA"/>
              </w:rPr>
              <w:t>1）按照降雨历时计算</w:t>
            </w:r>
          </w:p>
          <w:p w14:paraId="2C60A478">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snapToGrid w:val="0"/>
                <w:color w:val="000000"/>
                <w:kern w:val="0"/>
                <w:sz w:val="24"/>
                <w:szCs w:val="24"/>
                <w:highlight w:val="none"/>
                <w:lang w:val="en-US" w:eastAsia="zh-CN" w:bidi="ar-SA"/>
              </w:rPr>
            </w:pPr>
            <w:r>
              <w:rPr>
                <w:rFonts w:hint="default" w:ascii="Times New Roman" w:hAnsi="Times New Roman" w:eastAsia="宋体" w:cs="Times New Roman"/>
                <w:bCs/>
                <w:snapToGrid w:val="0"/>
                <w:color w:val="000000"/>
                <w:kern w:val="0"/>
                <w:sz w:val="24"/>
                <w:szCs w:val="24"/>
                <w:highlight w:val="none"/>
                <w:lang w:val="en-US" w:eastAsia="zh-CN" w:bidi="ar-SA"/>
              </w:rPr>
              <w:t>本评价参考</w:t>
            </w:r>
            <w:r>
              <w:rPr>
                <w:rFonts w:hint="eastAsia" w:ascii="Times New Roman" w:hAnsi="Times New Roman" w:eastAsia="宋体" w:cs="Times New Roman"/>
                <w:bCs/>
                <w:snapToGrid w:val="0"/>
                <w:color w:val="000000"/>
                <w:kern w:val="0"/>
                <w:sz w:val="24"/>
                <w:szCs w:val="24"/>
                <w:highlight w:val="none"/>
                <w:lang w:val="en-US" w:eastAsia="zh-CN" w:bidi="ar-SA"/>
              </w:rPr>
              <w:t>汉口</w:t>
            </w:r>
            <w:r>
              <w:rPr>
                <w:rFonts w:hint="default" w:ascii="Times New Roman" w:hAnsi="Times New Roman" w:eastAsia="宋体" w:cs="Times New Roman"/>
                <w:bCs/>
                <w:snapToGrid w:val="0"/>
                <w:color w:val="000000"/>
                <w:kern w:val="0"/>
                <w:sz w:val="24"/>
                <w:szCs w:val="24"/>
                <w:highlight w:val="none"/>
                <w:lang w:val="en-US" w:eastAsia="zh-CN" w:bidi="ar-SA"/>
              </w:rPr>
              <w:t>暴雨强度公式进行计算：</w:t>
            </w:r>
          </w:p>
          <w:p w14:paraId="1DF7E661">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Times New Roman"/>
                <w:bCs/>
                <w:snapToGrid w:val="0"/>
                <w:color w:val="000000"/>
                <w:kern w:val="0"/>
                <w:sz w:val="24"/>
                <w:szCs w:val="24"/>
                <w:highlight w:val="none"/>
                <w:lang w:val="en-US" w:eastAsia="zh-CN" w:bidi="ar-SA"/>
              </w:rPr>
            </w:pPr>
            <w:r>
              <w:rPr>
                <w:rFonts w:hint="eastAsia" w:ascii="Times New Roman" w:hAnsi="Times New Roman" w:eastAsia="宋体" w:cs="Times New Roman"/>
                <w:bCs/>
                <w:snapToGrid w:val="0"/>
                <w:color w:val="000000"/>
                <w:kern w:val="0"/>
                <w:sz w:val="24"/>
                <w:szCs w:val="24"/>
                <w:highlight w:val="none"/>
                <w:lang w:val="en-US" w:eastAsia="zh-CN" w:bidi="ar-SA"/>
              </w:rPr>
              <w:drawing>
                <wp:inline distT="0" distB="0" distL="114300" distR="114300">
                  <wp:extent cx="1543050" cy="440690"/>
                  <wp:effectExtent l="0" t="0" r="12700" b="381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24"/>
                          <a:stretch>
                            <a:fillRect/>
                          </a:stretch>
                        </pic:blipFill>
                        <pic:spPr>
                          <a:xfrm>
                            <a:off x="0" y="0"/>
                            <a:ext cx="1543050" cy="440690"/>
                          </a:xfrm>
                          <a:prstGeom prst="rect">
                            <a:avLst/>
                          </a:prstGeom>
                          <a:noFill/>
                          <a:ln>
                            <a:noFill/>
                          </a:ln>
                        </pic:spPr>
                      </pic:pic>
                    </a:graphicData>
                  </a:graphic>
                </wp:inline>
              </w:drawing>
            </w:r>
          </w:p>
          <w:p w14:paraId="231C4504">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bCs/>
                <w:snapToGrid w:val="0"/>
                <w:color w:val="000000"/>
                <w:kern w:val="0"/>
                <w:sz w:val="24"/>
                <w:szCs w:val="24"/>
                <w:highlight w:val="none"/>
                <w:lang w:val="en-US" w:eastAsia="zh-CN" w:bidi="ar-SA"/>
              </w:rPr>
            </w:pPr>
            <w:r>
              <w:rPr>
                <w:rFonts w:hint="eastAsia" w:ascii="Times New Roman" w:hAnsi="Times New Roman" w:eastAsia="宋体" w:cs="Times New Roman"/>
                <w:bCs/>
                <w:snapToGrid w:val="0"/>
                <w:color w:val="000000"/>
                <w:kern w:val="0"/>
                <w:sz w:val="24"/>
                <w:szCs w:val="24"/>
                <w:highlight w:val="none"/>
                <w:lang w:val="en-US" w:eastAsia="zh-CN" w:bidi="ar-SA"/>
              </w:rPr>
              <w:t>降雨量计算公式：</w:t>
            </w:r>
          </w:p>
          <w:p w14:paraId="67AA6F25">
            <w:pPr>
              <w:keepNext w:val="0"/>
              <w:keepLines w:val="0"/>
              <w:pageBreakBefore w:val="0"/>
              <w:widowControl w:val="0"/>
              <w:suppressLineNumbers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Cs/>
                <w:snapToGrid w:val="0"/>
                <w:color w:val="000000"/>
                <w:kern w:val="0"/>
                <w:sz w:val="24"/>
                <w:szCs w:val="24"/>
                <w:highlight w:val="none"/>
                <w:lang w:val="en-US" w:eastAsia="zh-CN" w:bidi="ar-SA"/>
              </w:rPr>
            </w:pPr>
            <w:r>
              <w:rPr>
                <w:rFonts w:hint="eastAsia" w:ascii="Times New Roman" w:hAnsi="Times New Roman" w:eastAsia="宋体" w:cs="Times New Roman"/>
                <w:bCs/>
                <w:snapToGrid w:val="0"/>
                <w:color w:val="000000"/>
                <w:kern w:val="0"/>
                <w:sz w:val="24"/>
                <w:szCs w:val="24"/>
                <w:highlight w:val="none"/>
                <w:lang w:val="en-US" w:eastAsia="zh-CN" w:bidi="ar-SA"/>
              </w:rPr>
              <w:drawing>
                <wp:inline distT="0" distB="0" distL="114300" distR="114300">
                  <wp:extent cx="1152525" cy="198120"/>
                  <wp:effectExtent l="0" t="0" r="6350" b="825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25"/>
                          <a:stretch>
                            <a:fillRect/>
                          </a:stretch>
                        </pic:blipFill>
                        <pic:spPr>
                          <a:xfrm>
                            <a:off x="0" y="0"/>
                            <a:ext cx="1152525" cy="198120"/>
                          </a:xfrm>
                          <a:prstGeom prst="rect">
                            <a:avLst/>
                          </a:prstGeom>
                          <a:noFill/>
                          <a:ln>
                            <a:noFill/>
                          </a:ln>
                        </pic:spPr>
                      </pic:pic>
                    </a:graphicData>
                  </a:graphic>
                </wp:inline>
              </w:drawing>
            </w:r>
          </w:p>
          <w:p w14:paraId="0CF7DB00">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Cs/>
                <w:snapToGrid w:val="0"/>
                <w:color w:val="000000"/>
                <w:kern w:val="0"/>
                <w:sz w:val="24"/>
                <w:szCs w:val="24"/>
                <w:highlight w:val="none"/>
                <w:lang w:val="en-US" w:eastAsia="zh-CN" w:bidi="ar-SA"/>
              </w:rPr>
            </w:pPr>
            <w:r>
              <w:rPr>
                <w:rFonts w:hint="eastAsia" w:ascii="Times New Roman" w:hAnsi="Times New Roman" w:eastAsia="宋体" w:cs="Times New Roman"/>
                <w:bCs/>
                <w:snapToGrid w:val="0"/>
                <w:color w:val="000000"/>
                <w:kern w:val="0"/>
                <w:sz w:val="24"/>
                <w:szCs w:val="24"/>
                <w:highlight w:val="none"/>
                <w:lang w:val="en-US" w:eastAsia="zh-CN" w:bidi="ar-SA"/>
              </w:rPr>
              <w:t>式中：</w:t>
            </w:r>
            <w:r>
              <w:rPr>
                <w:rFonts w:hint="default" w:ascii="Times New Roman" w:hAnsi="Times New Roman" w:eastAsia="宋体" w:cs="Times New Roman"/>
                <w:bCs/>
                <w:snapToGrid w:val="0"/>
                <w:color w:val="000000"/>
                <w:kern w:val="0"/>
                <w:sz w:val="24"/>
                <w:szCs w:val="24"/>
                <w:highlight w:val="none"/>
                <w:lang w:val="en-US" w:eastAsia="zh-CN" w:bidi="ar-SA"/>
              </w:rPr>
              <w:t>t-</w:t>
            </w:r>
            <w:r>
              <w:rPr>
                <w:rFonts w:hint="eastAsia" w:ascii="Times New Roman" w:hAnsi="Times New Roman" w:eastAsia="宋体" w:cs="Times New Roman"/>
                <w:bCs/>
                <w:snapToGrid w:val="0"/>
                <w:color w:val="000000"/>
                <w:kern w:val="0"/>
                <w:sz w:val="24"/>
                <w:szCs w:val="24"/>
                <w:highlight w:val="none"/>
                <w:lang w:val="en-US" w:eastAsia="zh-CN" w:bidi="ar-SA"/>
              </w:rPr>
              <w:t>降雨历时，</w:t>
            </w:r>
            <w:r>
              <w:rPr>
                <w:rFonts w:hint="default" w:ascii="Times New Roman" w:hAnsi="Times New Roman" w:eastAsia="宋体" w:cs="Times New Roman"/>
                <w:bCs/>
                <w:snapToGrid w:val="0"/>
                <w:color w:val="000000"/>
                <w:kern w:val="0"/>
                <w:sz w:val="24"/>
                <w:szCs w:val="24"/>
                <w:highlight w:val="none"/>
                <w:lang w:val="en-US" w:eastAsia="zh-CN" w:bidi="ar-SA"/>
              </w:rPr>
              <w:t>q-</w:t>
            </w:r>
            <w:r>
              <w:rPr>
                <w:rFonts w:hint="eastAsia" w:ascii="Times New Roman" w:hAnsi="Times New Roman" w:eastAsia="宋体" w:cs="Times New Roman"/>
                <w:bCs/>
                <w:snapToGrid w:val="0"/>
                <w:color w:val="000000"/>
                <w:kern w:val="0"/>
                <w:sz w:val="24"/>
                <w:szCs w:val="24"/>
                <w:highlight w:val="none"/>
                <w:lang w:val="en-US" w:eastAsia="zh-CN" w:bidi="ar-SA"/>
              </w:rPr>
              <w:t>降雨强度，</w:t>
            </w:r>
            <w:r>
              <w:rPr>
                <w:rFonts w:hint="default" w:ascii="Times New Roman" w:hAnsi="Times New Roman" w:eastAsia="宋体" w:cs="Times New Roman"/>
                <w:bCs/>
                <w:snapToGrid w:val="0"/>
                <w:color w:val="000000"/>
                <w:kern w:val="0"/>
                <w:sz w:val="24"/>
                <w:szCs w:val="24"/>
                <w:highlight w:val="none"/>
                <w:lang w:val="en-US" w:eastAsia="zh-CN" w:bidi="ar-SA"/>
              </w:rPr>
              <w:t>P-</w:t>
            </w:r>
            <w:r>
              <w:rPr>
                <w:rFonts w:hint="eastAsia" w:ascii="Times New Roman" w:hAnsi="Times New Roman" w:eastAsia="宋体" w:cs="Times New Roman"/>
                <w:bCs/>
                <w:snapToGrid w:val="0"/>
                <w:color w:val="000000"/>
                <w:kern w:val="0"/>
                <w:sz w:val="24"/>
                <w:szCs w:val="24"/>
                <w:highlight w:val="none"/>
                <w:lang w:val="en-US" w:eastAsia="zh-CN" w:bidi="ar-SA"/>
              </w:rPr>
              <w:t>重现期，</w:t>
            </w:r>
            <w:r>
              <w:rPr>
                <w:rFonts w:ascii="Symbol" w:hAnsi="Symbol" w:eastAsia="宋体" w:cs="Symbol"/>
                <w:i/>
                <w:iCs/>
                <w:color w:val="000000"/>
                <w:kern w:val="0"/>
                <w:sz w:val="24"/>
                <w:szCs w:val="24"/>
                <w:highlight w:val="none"/>
                <w:lang w:val="en-US" w:eastAsia="zh-CN" w:bidi="ar"/>
              </w:rPr>
              <w:t></w:t>
            </w:r>
            <w:r>
              <w:rPr>
                <w:rFonts w:hint="default" w:ascii="Times New Roman" w:hAnsi="Times New Roman" w:eastAsia="宋体" w:cs="Times New Roman"/>
                <w:bCs/>
                <w:snapToGrid w:val="0"/>
                <w:color w:val="000000"/>
                <w:kern w:val="0"/>
                <w:sz w:val="24"/>
                <w:szCs w:val="24"/>
                <w:highlight w:val="none"/>
                <w:lang w:val="en-US" w:eastAsia="zh-CN" w:bidi="ar-SA"/>
              </w:rPr>
              <w:t>-</w:t>
            </w:r>
            <w:r>
              <w:rPr>
                <w:rFonts w:hint="eastAsia" w:ascii="Times New Roman" w:hAnsi="Times New Roman" w:eastAsia="宋体" w:cs="Times New Roman"/>
                <w:bCs/>
                <w:snapToGrid w:val="0"/>
                <w:color w:val="000000"/>
                <w:kern w:val="0"/>
                <w:sz w:val="24"/>
                <w:szCs w:val="24"/>
                <w:highlight w:val="none"/>
                <w:lang w:val="en-US" w:eastAsia="zh-CN" w:bidi="ar-SA"/>
              </w:rPr>
              <w:t>径流系数，</w:t>
            </w:r>
            <w:r>
              <w:rPr>
                <w:rFonts w:hint="default" w:ascii="Times New Roman" w:hAnsi="Times New Roman" w:eastAsia="宋体" w:cs="Times New Roman"/>
                <w:bCs/>
                <w:snapToGrid w:val="0"/>
                <w:color w:val="000000"/>
                <w:kern w:val="0"/>
                <w:sz w:val="24"/>
                <w:szCs w:val="24"/>
                <w:highlight w:val="none"/>
                <w:lang w:val="en-US" w:eastAsia="zh-CN" w:bidi="ar-SA"/>
              </w:rPr>
              <w:t>F-</w:t>
            </w:r>
            <w:r>
              <w:rPr>
                <w:rFonts w:hint="eastAsia" w:ascii="Times New Roman" w:hAnsi="Times New Roman" w:eastAsia="宋体" w:cs="Times New Roman"/>
                <w:bCs/>
                <w:snapToGrid w:val="0"/>
                <w:color w:val="000000"/>
                <w:kern w:val="0"/>
                <w:sz w:val="24"/>
                <w:szCs w:val="24"/>
                <w:highlight w:val="none"/>
                <w:lang w:val="en-US" w:eastAsia="zh-CN" w:bidi="ar-SA"/>
              </w:rPr>
              <w:t>汇水面积，</w:t>
            </w:r>
            <w:r>
              <w:rPr>
                <w:rFonts w:hint="default" w:ascii="Times New Roman" w:hAnsi="Times New Roman" w:eastAsia="宋体" w:cs="Times New Roman"/>
                <w:bCs/>
                <w:snapToGrid w:val="0"/>
                <w:color w:val="000000"/>
                <w:kern w:val="0"/>
                <w:sz w:val="24"/>
                <w:szCs w:val="24"/>
                <w:highlight w:val="none"/>
                <w:lang w:val="en-US" w:eastAsia="zh-CN" w:bidi="ar-SA"/>
              </w:rPr>
              <w:t>Q-</w:t>
            </w:r>
            <w:r>
              <w:rPr>
                <w:rFonts w:hint="eastAsia" w:ascii="Times New Roman" w:hAnsi="Times New Roman" w:eastAsia="宋体" w:cs="Times New Roman"/>
                <w:bCs/>
                <w:snapToGrid w:val="0"/>
                <w:color w:val="000000"/>
                <w:kern w:val="0"/>
                <w:sz w:val="24"/>
                <w:szCs w:val="24"/>
                <w:highlight w:val="none"/>
                <w:lang w:val="en-US" w:eastAsia="zh-CN" w:bidi="ar-SA"/>
              </w:rPr>
              <w:t>雨水量。</w:t>
            </w:r>
          </w:p>
          <w:p w14:paraId="4FA47791">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Cs/>
                <w:snapToGrid w:val="0"/>
                <w:color w:val="000000"/>
                <w:kern w:val="0"/>
                <w:sz w:val="24"/>
                <w:szCs w:val="24"/>
                <w:highlight w:val="none"/>
                <w:lang w:val="en-US" w:eastAsia="zh-CN" w:bidi="ar-SA"/>
              </w:rPr>
            </w:pPr>
            <w:r>
              <w:rPr>
                <w:rFonts w:hint="eastAsia" w:ascii="Times New Roman" w:hAnsi="Times New Roman" w:eastAsia="宋体" w:cs="Times New Roman"/>
                <w:bCs/>
                <w:snapToGrid w:val="0"/>
                <w:color w:val="000000"/>
                <w:kern w:val="0"/>
                <w:sz w:val="24"/>
                <w:szCs w:val="24"/>
                <w:highlight w:val="none"/>
                <w:lang w:val="en-US" w:eastAsia="zh-CN" w:bidi="ar-SA"/>
              </w:rPr>
              <w:t>近年来，由于极端天气频发，全球变暖也导致大多数区域降水强度增强，为保障麻城市白鸭山矿区各个流域的水环境安全，本评价按照暴雨情况进行初期雨水核算。</w:t>
            </w:r>
          </w:p>
          <w:p w14:paraId="26A54985">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Cs/>
                <w:snapToGrid w:val="0"/>
                <w:color w:val="000000"/>
                <w:kern w:val="0"/>
                <w:sz w:val="24"/>
                <w:szCs w:val="24"/>
                <w:highlight w:val="none"/>
                <w:lang w:val="en-US" w:eastAsia="zh-CN" w:bidi="ar-SA"/>
              </w:rPr>
            </w:pPr>
            <w:r>
              <w:rPr>
                <w:rFonts w:hint="eastAsia" w:ascii="Times New Roman" w:hAnsi="Times New Roman" w:eastAsia="宋体" w:cs="Times New Roman"/>
                <w:bCs/>
                <w:snapToGrid w:val="0"/>
                <w:color w:val="000000"/>
                <w:kern w:val="0"/>
                <w:sz w:val="24"/>
                <w:szCs w:val="24"/>
                <w:highlight w:val="none"/>
                <w:lang w:val="en-US" w:eastAsia="zh-CN" w:bidi="ar-SA"/>
              </w:rPr>
              <w:t>根据《室外排水设计规范》（</w:t>
            </w:r>
            <w:r>
              <w:rPr>
                <w:rFonts w:hint="default" w:ascii="Times New Roman" w:hAnsi="Times New Roman" w:eastAsia="宋体" w:cs="Times New Roman"/>
                <w:bCs/>
                <w:snapToGrid w:val="0"/>
                <w:color w:val="000000"/>
                <w:kern w:val="0"/>
                <w:sz w:val="24"/>
                <w:szCs w:val="24"/>
                <w:highlight w:val="none"/>
                <w:lang w:val="en-US" w:eastAsia="zh-CN" w:bidi="ar-SA"/>
              </w:rPr>
              <w:t>GB50014-2021</w:t>
            </w:r>
            <w:r>
              <w:rPr>
                <w:rFonts w:hint="eastAsia" w:ascii="Times New Roman" w:hAnsi="Times New Roman" w:eastAsia="宋体" w:cs="Times New Roman"/>
                <w:bCs/>
                <w:snapToGrid w:val="0"/>
                <w:color w:val="000000"/>
                <w:kern w:val="0"/>
                <w:sz w:val="24"/>
                <w:szCs w:val="24"/>
                <w:highlight w:val="none"/>
                <w:lang w:val="en-US" w:eastAsia="zh-CN" w:bidi="ar-SA"/>
              </w:rPr>
              <w:t>）第</w:t>
            </w:r>
            <w:r>
              <w:rPr>
                <w:rFonts w:hint="default" w:ascii="Times New Roman" w:hAnsi="Times New Roman" w:eastAsia="宋体" w:cs="Times New Roman"/>
                <w:bCs/>
                <w:snapToGrid w:val="0"/>
                <w:color w:val="000000"/>
                <w:kern w:val="0"/>
                <w:sz w:val="24"/>
                <w:szCs w:val="24"/>
                <w:highlight w:val="none"/>
                <w:lang w:val="en-US" w:eastAsia="zh-CN" w:bidi="ar-SA"/>
              </w:rPr>
              <w:t>4.1.4</w:t>
            </w:r>
            <w:r>
              <w:rPr>
                <w:rFonts w:hint="eastAsia" w:ascii="Times New Roman" w:hAnsi="Times New Roman" w:eastAsia="宋体" w:cs="Times New Roman"/>
                <w:bCs/>
                <w:snapToGrid w:val="0"/>
                <w:color w:val="000000"/>
                <w:kern w:val="0"/>
                <w:sz w:val="24"/>
                <w:szCs w:val="24"/>
                <w:highlight w:val="none"/>
                <w:lang w:val="en-US" w:eastAsia="zh-CN" w:bidi="ar-SA"/>
              </w:rPr>
              <w:t>条，中等城市和小城市内涝防治设计重现期为</w:t>
            </w:r>
            <w:r>
              <w:rPr>
                <w:rFonts w:hint="default" w:ascii="Times New Roman" w:hAnsi="Times New Roman" w:eastAsia="宋体" w:cs="Times New Roman"/>
                <w:bCs/>
                <w:snapToGrid w:val="0"/>
                <w:color w:val="000000"/>
                <w:kern w:val="0"/>
                <w:sz w:val="24"/>
                <w:szCs w:val="24"/>
                <w:highlight w:val="none"/>
                <w:lang w:val="en-US" w:eastAsia="zh-CN" w:bidi="ar-SA"/>
              </w:rPr>
              <w:t>20~30</w:t>
            </w:r>
            <w:r>
              <w:rPr>
                <w:rFonts w:hint="eastAsia" w:ascii="Times New Roman" w:hAnsi="Times New Roman" w:eastAsia="宋体" w:cs="Times New Roman"/>
                <w:bCs/>
                <w:snapToGrid w:val="0"/>
                <w:color w:val="000000"/>
                <w:kern w:val="0"/>
                <w:sz w:val="24"/>
                <w:szCs w:val="24"/>
                <w:highlight w:val="none"/>
                <w:lang w:val="en-US" w:eastAsia="zh-CN" w:bidi="ar-SA"/>
              </w:rPr>
              <w:t>年。由于本项目矿山基本属于中、大型矿山，但是各个流域所占区域仅为开采区域的一部分（单个流域规模未达到大型矿山规模，按中型矿山参数计算），综合考虑矿山上运行安全等相关因素，本项目取重现期</w:t>
            </w:r>
            <w:r>
              <w:rPr>
                <w:rFonts w:hint="default" w:ascii="Times New Roman" w:hAnsi="Times New Roman" w:eastAsia="宋体" w:cs="Times New Roman"/>
                <w:bCs/>
                <w:snapToGrid w:val="0"/>
                <w:color w:val="000000"/>
                <w:kern w:val="0"/>
                <w:sz w:val="24"/>
                <w:szCs w:val="24"/>
                <w:highlight w:val="none"/>
                <w:lang w:val="en-US" w:eastAsia="zh-CN" w:bidi="ar-SA"/>
              </w:rPr>
              <w:t>P=20</w:t>
            </w:r>
            <w:r>
              <w:rPr>
                <w:rFonts w:hint="eastAsia" w:ascii="Times New Roman" w:hAnsi="Times New Roman" w:eastAsia="宋体" w:cs="Times New Roman"/>
                <w:bCs/>
                <w:snapToGrid w:val="0"/>
                <w:color w:val="000000"/>
                <w:kern w:val="0"/>
                <w:sz w:val="24"/>
                <w:szCs w:val="24"/>
                <w:highlight w:val="none"/>
                <w:lang w:val="en-US" w:eastAsia="zh-CN" w:bidi="ar-SA"/>
              </w:rPr>
              <w:t>年，经计算可知：</w:t>
            </w:r>
          </w:p>
          <w:p w14:paraId="5203AD0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val="0"/>
                <w:snapToGrid w:val="0"/>
                <w:color w:val="000000"/>
                <w:kern w:val="0"/>
                <w:sz w:val="24"/>
                <w:szCs w:val="24"/>
                <w:highlight w:val="none"/>
                <w:lang w:val="en-US" w:eastAsia="zh-CN" w:bidi="ar-SA"/>
              </w:rPr>
            </w:pPr>
            <w:r>
              <w:rPr>
                <w:rFonts w:hint="eastAsia" w:ascii="Times New Roman" w:hAnsi="Times New Roman" w:eastAsia="宋体" w:cs="Times New Roman"/>
                <w:b/>
                <w:bCs w:val="0"/>
                <w:snapToGrid w:val="0"/>
                <w:color w:val="000000"/>
                <w:kern w:val="0"/>
                <w:sz w:val="24"/>
                <w:szCs w:val="24"/>
                <w:highlight w:val="none"/>
                <w:lang w:val="en-US" w:eastAsia="zh-CN" w:bidi="ar-SA"/>
              </w:rPr>
              <w:t>表</w:t>
            </w:r>
            <w:r>
              <w:rPr>
                <w:rFonts w:hint="eastAsia" w:cs="Times New Roman"/>
                <w:b/>
                <w:bCs w:val="0"/>
                <w:snapToGrid w:val="0"/>
                <w:color w:val="000000"/>
                <w:kern w:val="0"/>
                <w:sz w:val="24"/>
                <w:szCs w:val="24"/>
                <w:highlight w:val="none"/>
                <w:lang w:val="en-US" w:eastAsia="zh-CN" w:bidi="ar-SA"/>
              </w:rPr>
              <w:t>4-8</w:t>
            </w:r>
            <w:r>
              <w:rPr>
                <w:rFonts w:hint="default" w:ascii="Times New Roman" w:hAnsi="Times New Roman" w:eastAsia="宋体" w:cs="Times New Roman"/>
                <w:b/>
                <w:bCs w:val="0"/>
                <w:snapToGrid w:val="0"/>
                <w:color w:val="000000"/>
                <w:kern w:val="0"/>
                <w:sz w:val="24"/>
                <w:szCs w:val="24"/>
                <w:highlight w:val="none"/>
                <w:lang w:val="en-US" w:eastAsia="zh-CN" w:bidi="ar-SA"/>
              </w:rPr>
              <w:t xml:space="preserve"> </w:t>
            </w:r>
            <w:r>
              <w:rPr>
                <w:rFonts w:hint="eastAsia" w:ascii="Times New Roman" w:hAnsi="Times New Roman" w:eastAsia="宋体" w:cs="Times New Roman"/>
                <w:b/>
                <w:bCs w:val="0"/>
                <w:snapToGrid w:val="0"/>
                <w:color w:val="000000"/>
                <w:kern w:val="0"/>
                <w:sz w:val="24"/>
                <w:szCs w:val="24"/>
                <w:highlight w:val="none"/>
                <w:lang w:val="en-US" w:eastAsia="zh-CN" w:bidi="ar-SA"/>
              </w:rPr>
              <w:t>二十年重现期地表径流情况表</w:t>
            </w:r>
          </w:p>
          <w:tbl>
            <w:tblPr>
              <w:tblStyle w:val="18"/>
              <w:tblW w:w="4900" w:type="pct"/>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autofit"/>
              <w:tblCellMar>
                <w:top w:w="0" w:type="dxa"/>
                <w:left w:w="108" w:type="dxa"/>
                <w:bottom w:w="0" w:type="dxa"/>
                <w:right w:w="108" w:type="dxa"/>
              </w:tblCellMar>
            </w:tblPr>
            <w:tblGrid>
              <w:gridCol w:w="2997"/>
              <w:gridCol w:w="3004"/>
              <w:gridCol w:w="3004"/>
            </w:tblGrid>
            <w:tr w14:paraId="52988891">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PrEx>
              <w:trPr>
                <w:trHeight w:val="283" w:hRule="atLeast"/>
                <w:jc w:val="center"/>
              </w:trPr>
              <w:tc>
                <w:tcPr>
                  <w:tcW w:w="1664" w:type="pct"/>
                  <w:tcBorders>
                    <w:tl2br w:val="nil"/>
                    <w:tr2bl w:val="nil"/>
                  </w:tcBorders>
                  <w:noWrap w:val="0"/>
                  <w:vAlign w:val="center"/>
                </w:tcPr>
                <w:p w14:paraId="2C09931E">
                  <w:pPr>
                    <w:keepNext w:val="0"/>
                    <w:keepLines w:val="0"/>
                    <w:pageBreakBefore w:val="0"/>
                    <w:widowControl w:val="0"/>
                    <w:suppressLineNumbers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0"/>
                      <w:sz w:val="18"/>
                      <w:szCs w:val="18"/>
                      <w:highlight w:val="none"/>
                      <w:lang w:val="en-US" w:eastAsia="zh-CN" w:bidi="ar"/>
                    </w:rPr>
                  </w:pPr>
                  <w:r>
                    <w:rPr>
                      <w:rFonts w:hint="default" w:ascii="Times New Roman" w:hAnsi="Times New Roman" w:eastAsia="宋体" w:cs="Times New Roman"/>
                      <w:b w:val="0"/>
                      <w:bCs w:val="0"/>
                      <w:color w:val="000000"/>
                      <w:kern w:val="0"/>
                      <w:sz w:val="18"/>
                      <w:szCs w:val="18"/>
                      <w:highlight w:val="none"/>
                      <w:lang w:val="en-US" w:eastAsia="zh-CN" w:bidi="ar"/>
                    </w:rPr>
                    <w:t>30min</w:t>
                  </w:r>
                  <w:r>
                    <w:rPr>
                      <w:rFonts w:hint="eastAsia" w:ascii="Times New Roman" w:hAnsi="Times New Roman" w:eastAsia="宋体" w:cs="Times New Roman"/>
                      <w:b w:val="0"/>
                      <w:bCs w:val="0"/>
                      <w:color w:val="000000"/>
                      <w:kern w:val="0"/>
                      <w:sz w:val="18"/>
                      <w:szCs w:val="18"/>
                      <w:highlight w:val="none"/>
                      <w:lang w:val="en-US" w:eastAsia="zh-CN" w:bidi="ar"/>
                    </w:rPr>
                    <w:t>水量（</w:t>
                  </w:r>
                  <w:r>
                    <w:rPr>
                      <w:rFonts w:hint="default" w:ascii="Times New Roman" w:hAnsi="Times New Roman" w:eastAsia="宋体" w:cs="Times New Roman"/>
                      <w:b w:val="0"/>
                      <w:bCs w:val="0"/>
                      <w:color w:val="000000"/>
                      <w:kern w:val="0"/>
                      <w:sz w:val="18"/>
                      <w:szCs w:val="18"/>
                      <w:highlight w:val="none"/>
                      <w:lang w:val="en-US" w:eastAsia="zh-CN" w:bidi="ar"/>
                    </w:rPr>
                    <w:t>m</w:t>
                  </w:r>
                  <w:r>
                    <w:rPr>
                      <w:rFonts w:hint="default" w:ascii="Times New Roman" w:hAnsi="Times New Roman" w:eastAsia="宋体" w:cs="Times New Roman"/>
                      <w:b w:val="0"/>
                      <w:bCs w:val="0"/>
                      <w:color w:val="000000"/>
                      <w:kern w:val="0"/>
                      <w:sz w:val="18"/>
                      <w:szCs w:val="18"/>
                      <w:highlight w:val="none"/>
                      <w:vertAlign w:val="superscript"/>
                      <w:lang w:val="en-US" w:eastAsia="zh-CN" w:bidi="ar"/>
                    </w:rPr>
                    <w:t>3</w:t>
                  </w:r>
                  <w:r>
                    <w:rPr>
                      <w:rFonts w:hint="eastAsia" w:ascii="Times New Roman" w:hAnsi="Times New Roman" w:eastAsia="宋体" w:cs="Times New Roman"/>
                      <w:b w:val="0"/>
                      <w:bCs w:val="0"/>
                      <w:color w:val="000000"/>
                      <w:kern w:val="0"/>
                      <w:sz w:val="18"/>
                      <w:szCs w:val="18"/>
                      <w:highlight w:val="none"/>
                      <w:lang w:val="en-US" w:eastAsia="zh-CN" w:bidi="ar"/>
                    </w:rPr>
                    <w:t>）</w:t>
                  </w:r>
                </w:p>
              </w:tc>
              <w:tc>
                <w:tcPr>
                  <w:tcW w:w="1667" w:type="pct"/>
                  <w:tcBorders>
                    <w:tl2br w:val="nil"/>
                    <w:tr2bl w:val="nil"/>
                  </w:tcBorders>
                  <w:noWrap w:val="0"/>
                  <w:vAlign w:val="center"/>
                </w:tcPr>
                <w:p w14:paraId="43134F44">
                  <w:pPr>
                    <w:keepNext w:val="0"/>
                    <w:keepLines w:val="0"/>
                    <w:pageBreakBefore w:val="0"/>
                    <w:widowControl w:val="0"/>
                    <w:suppressLineNumbers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0"/>
                      <w:sz w:val="18"/>
                      <w:szCs w:val="18"/>
                      <w:highlight w:val="none"/>
                      <w:lang w:val="en-US" w:eastAsia="zh-CN" w:bidi="ar"/>
                    </w:rPr>
                  </w:pPr>
                  <w:r>
                    <w:rPr>
                      <w:rFonts w:hint="eastAsia" w:ascii="Times New Roman" w:hAnsi="Times New Roman" w:eastAsia="宋体" w:cs="Times New Roman"/>
                      <w:b w:val="0"/>
                      <w:bCs w:val="0"/>
                      <w:color w:val="000000"/>
                      <w:kern w:val="0"/>
                      <w:sz w:val="18"/>
                      <w:szCs w:val="18"/>
                      <w:highlight w:val="none"/>
                      <w:lang w:val="en-US" w:eastAsia="zh-CN" w:bidi="ar"/>
                    </w:rPr>
                    <w:t>6</w:t>
                  </w:r>
                  <w:r>
                    <w:rPr>
                      <w:rFonts w:hint="default" w:ascii="Times New Roman" w:hAnsi="Times New Roman" w:eastAsia="宋体" w:cs="Times New Roman"/>
                      <w:b w:val="0"/>
                      <w:bCs w:val="0"/>
                      <w:color w:val="000000"/>
                      <w:kern w:val="0"/>
                      <w:sz w:val="18"/>
                      <w:szCs w:val="18"/>
                      <w:highlight w:val="none"/>
                      <w:lang w:val="en-US" w:eastAsia="zh-CN" w:bidi="ar"/>
                    </w:rPr>
                    <w:t>0min水量</w:t>
                  </w:r>
                  <w:r>
                    <w:rPr>
                      <w:rFonts w:hint="eastAsia" w:ascii="Times New Roman" w:hAnsi="Times New Roman" w:eastAsia="宋体" w:cs="Times New Roman"/>
                      <w:b w:val="0"/>
                      <w:bCs w:val="0"/>
                      <w:color w:val="000000"/>
                      <w:kern w:val="0"/>
                      <w:sz w:val="18"/>
                      <w:szCs w:val="18"/>
                      <w:highlight w:val="none"/>
                      <w:lang w:val="en-US" w:eastAsia="zh-CN" w:bidi="ar"/>
                    </w:rPr>
                    <w:t>（</w:t>
                  </w:r>
                  <w:r>
                    <w:rPr>
                      <w:rFonts w:hint="default" w:ascii="Times New Roman" w:hAnsi="Times New Roman" w:eastAsia="宋体" w:cs="Times New Roman"/>
                      <w:b w:val="0"/>
                      <w:bCs w:val="0"/>
                      <w:color w:val="000000"/>
                      <w:kern w:val="0"/>
                      <w:sz w:val="18"/>
                      <w:szCs w:val="18"/>
                      <w:highlight w:val="none"/>
                      <w:lang w:val="en-US" w:eastAsia="zh-CN" w:bidi="ar"/>
                    </w:rPr>
                    <w:t>m</w:t>
                  </w:r>
                  <w:r>
                    <w:rPr>
                      <w:rFonts w:hint="default" w:ascii="Times New Roman" w:hAnsi="Times New Roman" w:eastAsia="宋体" w:cs="Times New Roman"/>
                      <w:b w:val="0"/>
                      <w:bCs w:val="0"/>
                      <w:color w:val="000000"/>
                      <w:kern w:val="0"/>
                      <w:sz w:val="18"/>
                      <w:szCs w:val="18"/>
                      <w:highlight w:val="none"/>
                      <w:vertAlign w:val="superscript"/>
                      <w:lang w:val="en-US" w:eastAsia="zh-CN" w:bidi="ar"/>
                    </w:rPr>
                    <w:t>3</w:t>
                  </w:r>
                  <w:r>
                    <w:rPr>
                      <w:rFonts w:hint="eastAsia" w:ascii="Times New Roman" w:hAnsi="Times New Roman" w:eastAsia="宋体" w:cs="Times New Roman"/>
                      <w:b w:val="0"/>
                      <w:bCs w:val="0"/>
                      <w:color w:val="000000"/>
                      <w:kern w:val="0"/>
                      <w:sz w:val="18"/>
                      <w:szCs w:val="18"/>
                      <w:highlight w:val="none"/>
                      <w:lang w:val="en-US" w:eastAsia="zh-CN" w:bidi="ar"/>
                    </w:rPr>
                    <w:t>）</w:t>
                  </w:r>
                </w:p>
              </w:tc>
              <w:tc>
                <w:tcPr>
                  <w:tcW w:w="1667" w:type="pct"/>
                  <w:tcBorders>
                    <w:tl2br w:val="nil"/>
                    <w:tr2bl w:val="nil"/>
                  </w:tcBorders>
                  <w:noWrap w:val="0"/>
                  <w:vAlign w:val="center"/>
                </w:tcPr>
                <w:p w14:paraId="4271FDDF">
                  <w:pPr>
                    <w:keepNext w:val="0"/>
                    <w:keepLines w:val="0"/>
                    <w:pageBreakBefore w:val="0"/>
                    <w:widowControl w:val="0"/>
                    <w:suppressLineNumbers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0"/>
                      <w:sz w:val="18"/>
                      <w:szCs w:val="18"/>
                      <w:highlight w:val="none"/>
                      <w:lang w:val="en-US" w:eastAsia="zh-CN" w:bidi="ar"/>
                    </w:rPr>
                  </w:pPr>
                  <w:r>
                    <w:rPr>
                      <w:rFonts w:hint="eastAsia" w:ascii="Times New Roman" w:hAnsi="Times New Roman" w:eastAsia="宋体" w:cs="Times New Roman"/>
                      <w:b w:val="0"/>
                      <w:bCs w:val="0"/>
                      <w:color w:val="000000"/>
                      <w:kern w:val="0"/>
                      <w:sz w:val="18"/>
                      <w:szCs w:val="18"/>
                      <w:highlight w:val="none"/>
                      <w:lang w:val="en-US" w:eastAsia="zh-CN" w:bidi="ar"/>
                    </w:rPr>
                    <w:t>120</w:t>
                  </w:r>
                  <w:r>
                    <w:rPr>
                      <w:rFonts w:hint="default" w:ascii="Times New Roman" w:hAnsi="Times New Roman" w:eastAsia="宋体" w:cs="Times New Roman"/>
                      <w:b w:val="0"/>
                      <w:bCs w:val="0"/>
                      <w:color w:val="000000"/>
                      <w:kern w:val="0"/>
                      <w:sz w:val="18"/>
                      <w:szCs w:val="18"/>
                      <w:highlight w:val="none"/>
                      <w:lang w:val="en-US" w:eastAsia="zh-CN" w:bidi="ar"/>
                    </w:rPr>
                    <w:t>min水量</w:t>
                  </w:r>
                  <w:r>
                    <w:rPr>
                      <w:rFonts w:hint="eastAsia" w:ascii="Times New Roman" w:hAnsi="Times New Roman" w:eastAsia="宋体" w:cs="Times New Roman"/>
                      <w:b w:val="0"/>
                      <w:bCs w:val="0"/>
                      <w:color w:val="000000"/>
                      <w:kern w:val="0"/>
                      <w:sz w:val="18"/>
                      <w:szCs w:val="18"/>
                      <w:highlight w:val="none"/>
                      <w:lang w:val="en-US" w:eastAsia="zh-CN" w:bidi="ar"/>
                    </w:rPr>
                    <w:t>（</w:t>
                  </w:r>
                  <w:r>
                    <w:rPr>
                      <w:rFonts w:hint="default" w:ascii="Times New Roman" w:hAnsi="Times New Roman" w:eastAsia="宋体" w:cs="Times New Roman"/>
                      <w:b w:val="0"/>
                      <w:bCs w:val="0"/>
                      <w:color w:val="000000"/>
                      <w:kern w:val="0"/>
                      <w:sz w:val="18"/>
                      <w:szCs w:val="18"/>
                      <w:highlight w:val="none"/>
                      <w:lang w:val="en-US" w:eastAsia="zh-CN" w:bidi="ar"/>
                    </w:rPr>
                    <w:t>m</w:t>
                  </w:r>
                  <w:r>
                    <w:rPr>
                      <w:rFonts w:hint="default" w:ascii="Times New Roman" w:hAnsi="Times New Roman" w:eastAsia="宋体" w:cs="Times New Roman"/>
                      <w:b w:val="0"/>
                      <w:bCs w:val="0"/>
                      <w:color w:val="000000"/>
                      <w:kern w:val="0"/>
                      <w:sz w:val="18"/>
                      <w:szCs w:val="18"/>
                      <w:highlight w:val="none"/>
                      <w:vertAlign w:val="superscript"/>
                      <w:lang w:val="en-US" w:eastAsia="zh-CN" w:bidi="ar"/>
                    </w:rPr>
                    <w:t>3</w:t>
                  </w:r>
                  <w:r>
                    <w:rPr>
                      <w:rFonts w:hint="eastAsia" w:ascii="Times New Roman" w:hAnsi="Times New Roman" w:eastAsia="宋体" w:cs="Times New Roman"/>
                      <w:b w:val="0"/>
                      <w:bCs w:val="0"/>
                      <w:color w:val="000000"/>
                      <w:kern w:val="0"/>
                      <w:sz w:val="18"/>
                      <w:szCs w:val="18"/>
                      <w:highlight w:val="none"/>
                      <w:lang w:val="en-US" w:eastAsia="zh-CN" w:bidi="ar"/>
                    </w:rPr>
                    <w:t>）</w:t>
                  </w:r>
                </w:p>
              </w:tc>
            </w:tr>
            <w:tr w14:paraId="65087859">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283" w:hRule="atLeast"/>
                <w:jc w:val="center"/>
              </w:trPr>
              <w:tc>
                <w:tcPr>
                  <w:tcW w:w="3054" w:type="dxa"/>
                  <w:tcBorders>
                    <w:tl2br w:val="nil"/>
                    <w:tr2bl w:val="nil"/>
                  </w:tcBorders>
                  <w:noWrap w:val="0"/>
                  <w:vAlign w:val="center"/>
                </w:tcPr>
                <w:p w14:paraId="22AF64D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11282</w:t>
                  </w:r>
                </w:p>
              </w:tc>
              <w:tc>
                <w:tcPr>
                  <w:tcW w:w="3060" w:type="dxa"/>
                  <w:tcBorders>
                    <w:tl2br w:val="nil"/>
                    <w:tr2bl w:val="nil"/>
                  </w:tcBorders>
                  <w:noWrap w:val="0"/>
                  <w:vAlign w:val="center"/>
                </w:tcPr>
                <w:p w14:paraId="1D90600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15833</w:t>
                  </w:r>
                </w:p>
              </w:tc>
              <w:tc>
                <w:tcPr>
                  <w:tcW w:w="3060" w:type="dxa"/>
                  <w:tcBorders>
                    <w:tl2br w:val="nil"/>
                    <w:tr2bl w:val="nil"/>
                  </w:tcBorders>
                  <w:noWrap w:val="0"/>
                  <w:vAlign w:val="center"/>
                </w:tcPr>
                <w:p w14:paraId="40BC326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21865</w:t>
                  </w:r>
                </w:p>
              </w:tc>
            </w:tr>
          </w:tbl>
          <w:p w14:paraId="7A5038B5">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Cs/>
                <w:snapToGrid w:val="0"/>
                <w:color w:val="000000"/>
                <w:kern w:val="0"/>
                <w:sz w:val="24"/>
                <w:szCs w:val="24"/>
                <w:highlight w:val="none"/>
                <w:lang w:val="en-US" w:eastAsia="zh-CN" w:bidi="ar-SA"/>
              </w:rPr>
            </w:pPr>
            <w:r>
              <w:rPr>
                <w:rFonts w:hint="eastAsia" w:ascii="Times New Roman" w:hAnsi="Times New Roman" w:eastAsia="宋体" w:cs="Times New Roman"/>
                <w:bCs/>
                <w:snapToGrid w:val="0"/>
                <w:color w:val="000000"/>
                <w:kern w:val="0"/>
                <w:sz w:val="24"/>
                <w:szCs w:val="24"/>
                <w:highlight w:val="none"/>
                <w:lang w:val="en-US" w:eastAsia="zh-CN" w:bidi="ar-SA"/>
              </w:rPr>
              <w:t>3）按降雨厚度计算</w:t>
            </w:r>
          </w:p>
          <w:p w14:paraId="668B09CF">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Cs/>
                <w:snapToGrid w:val="0"/>
                <w:color w:val="000000"/>
                <w:kern w:val="0"/>
                <w:sz w:val="24"/>
                <w:szCs w:val="24"/>
                <w:highlight w:val="none"/>
                <w:lang w:val="en-US" w:eastAsia="zh-CN" w:bidi="ar-SA"/>
              </w:rPr>
            </w:pPr>
            <w:r>
              <w:rPr>
                <w:rFonts w:hint="eastAsia" w:ascii="Times New Roman" w:hAnsi="Times New Roman" w:eastAsia="宋体" w:cs="Times New Roman"/>
                <w:bCs/>
                <w:snapToGrid w:val="0"/>
                <w:color w:val="000000"/>
                <w:kern w:val="0"/>
                <w:sz w:val="24"/>
                <w:szCs w:val="24"/>
                <w:highlight w:val="none"/>
                <w:lang w:val="en-US" w:eastAsia="zh-CN" w:bidi="ar-SA"/>
              </w:rPr>
              <w:t>中国气象局规定：降水量就是指从天空降落到地面上的液态和固态（经融化后）降水，没有经过蒸发、渗透和流失而在水平面上积聚的深度。单位是毫米，</w:t>
            </w:r>
            <w:r>
              <w:rPr>
                <w:rFonts w:hint="default" w:ascii="Times New Roman" w:hAnsi="Times New Roman" w:eastAsia="宋体" w:cs="Times New Roman"/>
                <w:bCs/>
                <w:snapToGrid w:val="0"/>
                <w:color w:val="000000"/>
                <w:kern w:val="0"/>
                <w:sz w:val="24"/>
                <w:szCs w:val="24"/>
                <w:highlight w:val="none"/>
                <w:lang w:val="en-US" w:eastAsia="zh-CN" w:bidi="ar-SA"/>
              </w:rPr>
              <w:t>1</w:t>
            </w:r>
            <w:r>
              <w:rPr>
                <w:rFonts w:hint="eastAsia" w:ascii="Times New Roman" w:hAnsi="Times New Roman" w:eastAsia="宋体" w:cs="Times New Roman"/>
                <w:bCs/>
                <w:snapToGrid w:val="0"/>
                <w:color w:val="000000"/>
                <w:kern w:val="0"/>
                <w:sz w:val="24"/>
                <w:szCs w:val="24"/>
                <w:highlight w:val="none"/>
                <w:lang w:val="en-US" w:eastAsia="zh-CN" w:bidi="ar-SA"/>
              </w:rPr>
              <w:t>毫米的降水量是指单位面积上水深</w:t>
            </w:r>
            <w:r>
              <w:rPr>
                <w:rFonts w:hint="default" w:ascii="Times New Roman" w:hAnsi="Times New Roman" w:eastAsia="宋体" w:cs="Times New Roman"/>
                <w:bCs/>
                <w:snapToGrid w:val="0"/>
                <w:color w:val="000000"/>
                <w:kern w:val="0"/>
                <w:sz w:val="24"/>
                <w:szCs w:val="24"/>
                <w:highlight w:val="none"/>
                <w:lang w:val="en-US" w:eastAsia="zh-CN" w:bidi="ar-SA"/>
              </w:rPr>
              <w:t>1</w:t>
            </w:r>
            <w:r>
              <w:rPr>
                <w:rFonts w:hint="eastAsia" w:ascii="Times New Roman" w:hAnsi="Times New Roman" w:eastAsia="宋体" w:cs="Times New Roman"/>
                <w:bCs/>
                <w:snapToGrid w:val="0"/>
                <w:color w:val="000000"/>
                <w:kern w:val="0"/>
                <w:sz w:val="24"/>
                <w:szCs w:val="24"/>
                <w:highlight w:val="none"/>
                <w:lang w:val="en-US" w:eastAsia="zh-CN" w:bidi="ar-SA"/>
              </w:rPr>
              <w:t>毫米。</w:t>
            </w:r>
          </w:p>
          <w:p w14:paraId="4F430F72">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Cs/>
                <w:snapToGrid w:val="0"/>
                <w:color w:val="000000"/>
                <w:kern w:val="0"/>
                <w:sz w:val="24"/>
                <w:szCs w:val="24"/>
                <w:highlight w:val="none"/>
                <w:lang w:val="en-US" w:eastAsia="zh-CN" w:bidi="ar-SA"/>
              </w:rPr>
            </w:pPr>
            <w:r>
              <w:rPr>
                <w:rFonts w:hint="eastAsia" w:ascii="Times New Roman" w:hAnsi="Times New Roman" w:eastAsia="宋体" w:cs="Times New Roman"/>
                <w:bCs/>
                <w:snapToGrid w:val="0"/>
                <w:color w:val="000000"/>
                <w:kern w:val="0"/>
                <w:sz w:val="24"/>
                <w:szCs w:val="24"/>
                <w:highlight w:val="none"/>
                <w:lang w:val="en-US" w:eastAsia="zh-CN" w:bidi="ar-SA"/>
              </w:rPr>
              <w:t>在气象上用降水量来区分降水的强度。可分为：小雨、中雨、大雨、暴雨、大暴雨、特大暴雨，小雪、中雪、大雪和暴雪等。</w:t>
            </w:r>
          </w:p>
          <w:p w14:paraId="418C9EF5">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Cs/>
                <w:snapToGrid w:val="0"/>
                <w:color w:val="000000"/>
                <w:kern w:val="0"/>
                <w:sz w:val="24"/>
                <w:szCs w:val="24"/>
                <w:highlight w:val="none"/>
                <w:lang w:val="en-US" w:eastAsia="zh-CN" w:bidi="ar-SA"/>
              </w:rPr>
            </w:pPr>
            <w:r>
              <w:rPr>
                <w:rFonts w:hint="eastAsia" w:ascii="Times New Roman" w:hAnsi="Times New Roman" w:eastAsia="宋体" w:cs="Times New Roman"/>
                <w:bCs/>
                <w:snapToGrid w:val="0"/>
                <w:color w:val="000000"/>
                <w:kern w:val="0"/>
                <w:sz w:val="24"/>
                <w:szCs w:val="24"/>
                <w:highlight w:val="none"/>
                <w:lang w:val="en-US" w:eastAsia="zh-CN" w:bidi="ar-SA"/>
              </w:rPr>
              <w:t>小雨：</w:t>
            </w:r>
            <w:r>
              <w:rPr>
                <w:rFonts w:hint="default" w:ascii="Times New Roman" w:hAnsi="Times New Roman" w:eastAsia="宋体" w:cs="Times New Roman"/>
                <w:bCs/>
                <w:snapToGrid w:val="0"/>
                <w:color w:val="000000"/>
                <w:kern w:val="0"/>
                <w:sz w:val="24"/>
                <w:szCs w:val="24"/>
                <w:highlight w:val="none"/>
                <w:lang w:val="en-US" w:eastAsia="zh-CN" w:bidi="ar-SA"/>
              </w:rPr>
              <w:t>12</w:t>
            </w:r>
            <w:r>
              <w:rPr>
                <w:rFonts w:hint="eastAsia" w:ascii="Times New Roman" w:hAnsi="Times New Roman" w:eastAsia="宋体" w:cs="Times New Roman"/>
                <w:bCs/>
                <w:snapToGrid w:val="0"/>
                <w:color w:val="000000"/>
                <w:kern w:val="0"/>
                <w:sz w:val="24"/>
                <w:szCs w:val="24"/>
                <w:highlight w:val="none"/>
                <w:lang w:val="en-US" w:eastAsia="zh-CN" w:bidi="ar-SA"/>
              </w:rPr>
              <w:t>小时内降水量小于</w:t>
            </w:r>
            <w:r>
              <w:rPr>
                <w:rFonts w:hint="default" w:ascii="Times New Roman" w:hAnsi="Times New Roman" w:eastAsia="宋体" w:cs="Times New Roman"/>
                <w:bCs/>
                <w:snapToGrid w:val="0"/>
                <w:color w:val="000000"/>
                <w:kern w:val="0"/>
                <w:sz w:val="24"/>
                <w:szCs w:val="24"/>
                <w:highlight w:val="none"/>
                <w:lang w:val="en-US" w:eastAsia="zh-CN" w:bidi="ar-SA"/>
              </w:rPr>
              <w:t>5mm</w:t>
            </w:r>
            <w:r>
              <w:rPr>
                <w:rFonts w:hint="eastAsia" w:ascii="Times New Roman" w:hAnsi="Times New Roman" w:eastAsia="宋体" w:cs="Times New Roman"/>
                <w:bCs/>
                <w:snapToGrid w:val="0"/>
                <w:color w:val="000000"/>
                <w:kern w:val="0"/>
                <w:sz w:val="24"/>
                <w:szCs w:val="24"/>
                <w:highlight w:val="none"/>
                <w:lang w:val="en-US" w:eastAsia="zh-CN" w:bidi="ar-SA"/>
              </w:rPr>
              <w:t>或</w:t>
            </w:r>
            <w:r>
              <w:rPr>
                <w:rFonts w:hint="default" w:ascii="Times New Roman" w:hAnsi="Times New Roman" w:eastAsia="宋体" w:cs="Times New Roman"/>
                <w:bCs/>
                <w:snapToGrid w:val="0"/>
                <w:color w:val="000000"/>
                <w:kern w:val="0"/>
                <w:sz w:val="24"/>
                <w:szCs w:val="24"/>
                <w:highlight w:val="none"/>
                <w:lang w:val="en-US" w:eastAsia="zh-CN" w:bidi="ar-SA"/>
              </w:rPr>
              <w:t>24</w:t>
            </w:r>
            <w:r>
              <w:rPr>
                <w:rFonts w:hint="eastAsia" w:ascii="Times New Roman" w:hAnsi="Times New Roman" w:eastAsia="宋体" w:cs="Times New Roman"/>
                <w:bCs/>
                <w:snapToGrid w:val="0"/>
                <w:color w:val="000000"/>
                <w:kern w:val="0"/>
                <w:sz w:val="24"/>
                <w:szCs w:val="24"/>
                <w:highlight w:val="none"/>
                <w:lang w:val="en-US" w:eastAsia="zh-CN" w:bidi="ar-SA"/>
              </w:rPr>
              <w:t>小时内降水量小于</w:t>
            </w:r>
            <w:r>
              <w:rPr>
                <w:rFonts w:hint="default" w:ascii="Times New Roman" w:hAnsi="Times New Roman" w:eastAsia="宋体" w:cs="Times New Roman"/>
                <w:bCs/>
                <w:snapToGrid w:val="0"/>
                <w:color w:val="000000"/>
                <w:kern w:val="0"/>
                <w:sz w:val="24"/>
                <w:szCs w:val="24"/>
                <w:highlight w:val="none"/>
                <w:lang w:val="en-US" w:eastAsia="zh-CN" w:bidi="ar-SA"/>
              </w:rPr>
              <w:t>10mm</w:t>
            </w:r>
            <w:r>
              <w:rPr>
                <w:rFonts w:hint="eastAsia" w:ascii="Times New Roman" w:hAnsi="Times New Roman" w:eastAsia="宋体" w:cs="Times New Roman"/>
                <w:bCs/>
                <w:snapToGrid w:val="0"/>
                <w:color w:val="000000"/>
                <w:kern w:val="0"/>
                <w:sz w:val="24"/>
                <w:szCs w:val="24"/>
                <w:highlight w:val="none"/>
                <w:lang w:val="en-US" w:eastAsia="zh-CN" w:bidi="ar-SA"/>
              </w:rPr>
              <w:t>的降雨过程；中雨：</w:t>
            </w:r>
            <w:r>
              <w:rPr>
                <w:rFonts w:hint="default" w:ascii="Times New Roman" w:hAnsi="Times New Roman" w:eastAsia="宋体" w:cs="Times New Roman"/>
                <w:bCs/>
                <w:snapToGrid w:val="0"/>
                <w:color w:val="000000"/>
                <w:kern w:val="0"/>
                <w:sz w:val="24"/>
                <w:szCs w:val="24"/>
                <w:highlight w:val="none"/>
                <w:lang w:val="en-US" w:eastAsia="zh-CN" w:bidi="ar-SA"/>
              </w:rPr>
              <w:t>12</w:t>
            </w:r>
            <w:r>
              <w:rPr>
                <w:rFonts w:hint="eastAsia" w:ascii="Times New Roman" w:hAnsi="Times New Roman" w:eastAsia="宋体" w:cs="Times New Roman"/>
                <w:bCs/>
                <w:snapToGrid w:val="0"/>
                <w:color w:val="000000"/>
                <w:kern w:val="0"/>
                <w:sz w:val="24"/>
                <w:szCs w:val="24"/>
                <w:highlight w:val="none"/>
                <w:lang w:val="en-US" w:eastAsia="zh-CN" w:bidi="ar-SA"/>
              </w:rPr>
              <w:t>小时内降水量</w:t>
            </w:r>
            <w:r>
              <w:rPr>
                <w:rFonts w:hint="default" w:ascii="Times New Roman" w:hAnsi="Times New Roman" w:eastAsia="宋体" w:cs="Times New Roman"/>
                <w:bCs/>
                <w:snapToGrid w:val="0"/>
                <w:color w:val="000000"/>
                <w:kern w:val="0"/>
                <w:sz w:val="24"/>
                <w:szCs w:val="24"/>
                <w:highlight w:val="none"/>
                <w:lang w:val="en-US" w:eastAsia="zh-CN" w:bidi="ar-SA"/>
              </w:rPr>
              <w:t>5～15mm</w:t>
            </w:r>
            <w:r>
              <w:rPr>
                <w:rFonts w:hint="eastAsia" w:ascii="Times New Roman" w:hAnsi="Times New Roman" w:eastAsia="宋体" w:cs="Times New Roman"/>
                <w:bCs/>
                <w:snapToGrid w:val="0"/>
                <w:color w:val="000000"/>
                <w:kern w:val="0"/>
                <w:sz w:val="24"/>
                <w:szCs w:val="24"/>
                <w:highlight w:val="none"/>
                <w:lang w:val="en-US" w:eastAsia="zh-CN" w:bidi="ar-SA"/>
              </w:rPr>
              <w:t>或</w:t>
            </w:r>
            <w:r>
              <w:rPr>
                <w:rFonts w:hint="default" w:ascii="Times New Roman" w:hAnsi="Times New Roman" w:eastAsia="宋体" w:cs="Times New Roman"/>
                <w:bCs/>
                <w:snapToGrid w:val="0"/>
                <w:color w:val="000000"/>
                <w:kern w:val="0"/>
                <w:sz w:val="24"/>
                <w:szCs w:val="24"/>
                <w:highlight w:val="none"/>
                <w:lang w:val="en-US" w:eastAsia="zh-CN" w:bidi="ar-SA"/>
              </w:rPr>
              <w:t>24</w:t>
            </w:r>
            <w:r>
              <w:rPr>
                <w:rFonts w:hint="eastAsia" w:ascii="Times New Roman" w:hAnsi="Times New Roman" w:eastAsia="宋体" w:cs="Times New Roman"/>
                <w:bCs/>
                <w:snapToGrid w:val="0"/>
                <w:color w:val="000000"/>
                <w:kern w:val="0"/>
                <w:sz w:val="24"/>
                <w:szCs w:val="24"/>
                <w:highlight w:val="none"/>
                <w:lang w:val="en-US" w:eastAsia="zh-CN" w:bidi="ar-SA"/>
              </w:rPr>
              <w:t>小时内降水量</w:t>
            </w:r>
            <w:r>
              <w:rPr>
                <w:rFonts w:hint="default" w:ascii="Times New Roman" w:hAnsi="Times New Roman" w:eastAsia="宋体" w:cs="Times New Roman"/>
                <w:bCs/>
                <w:snapToGrid w:val="0"/>
                <w:color w:val="000000"/>
                <w:kern w:val="0"/>
                <w:sz w:val="24"/>
                <w:szCs w:val="24"/>
                <w:highlight w:val="none"/>
                <w:lang w:val="en-US" w:eastAsia="zh-CN" w:bidi="ar-SA"/>
              </w:rPr>
              <w:t>10</w:t>
            </w:r>
            <w:r>
              <w:rPr>
                <w:rFonts w:hint="eastAsia" w:ascii="Times New Roman" w:hAnsi="Times New Roman" w:eastAsia="宋体" w:cs="Times New Roman"/>
                <w:bCs/>
                <w:snapToGrid w:val="0"/>
                <w:color w:val="000000"/>
                <w:kern w:val="0"/>
                <w:sz w:val="24"/>
                <w:szCs w:val="24"/>
                <w:highlight w:val="none"/>
                <w:lang w:val="en-US" w:eastAsia="zh-CN" w:bidi="ar-SA"/>
              </w:rPr>
              <w:t>～</w:t>
            </w:r>
            <w:r>
              <w:rPr>
                <w:rFonts w:hint="default" w:ascii="Times New Roman" w:hAnsi="Times New Roman" w:eastAsia="宋体" w:cs="Times New Roman"/>
                <w:bCs/>
                <w:snapToGrid w:val="0"/>
                <w:color w:val="000000"/>
                <w:kern w:val="0"/>
                <w:sz w:val="24"/>
                <w:szCs w:val="24"/>
                <w:highlight w:val="none"/>
                <w:lang w:val="en-US" w:eastAsia="zh-CN" w:bidi="ar-SA"/>
              </w:rPr>
              <w:t>25mm</w:t>
            </w:r>
            <w:r>
              <w:rPr>
                <w:rFonts w:hint="eastAsia" w:ascii="Times New Roman" w:hAnsi="Times New Roman" w:eastAsia="宋体" w:cs="Times New Roman"/>
                <w:bCs/>
                <w:snapToGrid w:val="0"/>
                <w:color w:val="000000"/>
                <w:kern w:val="0"/>
                <w:sz w:val="24"/>
                <w:szCs w:val="24"/>
                <w:highlight w:val="none"/>
                <w:lang w:val="en-US" w:eastAsia="zh-CN" w:bidi="ar-SA"/>
              </w:rPr>
              <w:t>的降雨过程；大雨：</w:t>
            </w:r>
            <w:r>
              <w:rPr>
                <w:rFonts w:hint="default" w:ascii="Times New Roman" w:hAnsi="Times New Roman" w:eastAsia="宋体" w:cs="Times New Roman"/>
                <w:bCs/>
                <w:snapToGrid w:val="0"/>
                <w:color w:val="000000"/>
                <w:kern w:val="0"/>
                <w:sz w:val="24"/>
                <w:szCs w:val="24"/>
                <w:highlight w:val="none"/>
                <w:lang w:val="en-US" w:eastAsia="zh-CN" w:bidi="ar-SA"/>
              </w:rPr>
              <w:t>12</w:t>
            </w:r>
            <w:r>
              <w:rPr>
                <w:rFonts w:hint="eastAsia" w:ascii="Times New Roman" w:hAnsi="Times New Roman" w:eastAsia="宋体" w:cs="Times New Roman"/>
                <w:bCs/>
                <w:snapToGrid w:val="0"/>
                <w:color w:val="000000"/>
                <w:kern w:val="0"/>
                <w:sz w:val="24"/>
                <w:szCs w:val="24"/>
                <w:highlight w:val="none"/>
                <w:lang w:val="en-US" w:eastAsia="zh-CN" w:bidi="ar-SA"/>
              </w:rPr>
              <w:t>小时内降水量</w:t>
            </w:r>
            <w:r>
              <w:rPr>
                <w:rFonts w:hint="default" w:ascii="Times New Roman" w:hAnsi="Times New Roman" w:eastAsia="宋体" w:cs="Times New Roman"/>
                <w:bCs/>
                <w:snapToGrid w:val="0"/>
                <w:color w:val="000000"/>
                <w:kern w:val="0"/>
                <w:sz w:val="24"/>
                <w:szCs w:val="24"/>
                <w:highlight w:val="none"/>
                <w:lang w:val="en-US" w:eastAsia="zh-CN" w:bidi="ar-SA"/>
              </w:rPr>
              <w:t>15</w:t>
            </w:r>
            <w:r>
              <w:rPr>
                <w:rFonts w:hint="eastAsia" w:ascii="Times New Roman" w:hAnsi="Times New Roman" w:eastAsia="宋体" w:cs="Times New Roman"/>
                <w:bCs/>
                <w:snapToGrid w:val="0"/>
                <w:color w:val="000000"/>
                <w:kern w:val="0"/>
                <w:sz w:val="24"/>
                <w:szCs w:val="24"/>
                <w:highlight w:val="none"/>
                <w:lang w:val="en-US" w:eastAsia="zh-CN" w:bidi="ar-SA"/>
              </w:rPr>
              <w:t>～</w:t>
            </w:r>
            <w:r>
              <w:rPr>
                <w:rFonts w:hint="default" w:ascii="Times New Roman" w:hAnsi="Times New Roman" w:eastAsia="宋体" w:cs="Times New Roman"/>
                <w:bCs/>
                <w:snapToGrid w:val="0"/>
                <w:color w:val="000000"/>
                <w:kern w:val="0"/>
                <w:sz w:val="24"/>
                <w:szCs w:val="24"/>
                <w:highlight w:val="none"/>
                <w:lang w:val="en-US" w:eastAsia="zh-CN" w:bidi="ar-SA"/>
              </w:rPr>
              <w:t>30mm</w:t>
            </w:r>
            <w:r>
              <w:rPr>
                <w:rFonts w:hint="eastAsia" w:ascii="Times New Roman" w:hAnsi="Times New Roman" w:eastAsia="宋体" w:cs="Times New Roman"/>
                <w:bCs/>
                <w:snapToGrid w:val="0"/>
                <w:color w:val="000000"/>
                <w:kern w:val="0"/>
                <w:sz w:val="24"/>
                <w:szCs w:val="24"/>
                <w:highlight w:val="none"/>
                <w:lang w:val="en-US" w:eastAsia="zh-CN" w:bidi="ar-SA"/>
              </w:rPr>
              <w:t>或</w:t>
            </w:r>
            <w:r>
              <w:rPr>
                <w:rFonts w:hint="default" w:ascii="Times New Roman" w:hAnsi="Times New Roman" w:eastAsia="宋体" w:cs="Times New Roman"/>
                <w:bCs/>
                <w:snapToGrid w:val="0"/>
                <w:color w:val="000000"/>
                <w:kern w:val="0"/>
                <w:sz w:val="24"/>
                <w:szCs w:val="24"/>
                <w:highlight w:val="none"/>
                <w:lang w:val="en-US" w:eastAsia="zh-CN" w:bidi="ar-SA"/>
              </w:rPr>
              <w:t>24</w:t>
            </w:r>
            <w:r>
              <w:rPr>
                <w:rFonts w:hint="eastAsia" w:ascii="Times New Roman" w:hAnsi="Times New Roman" w:eastAsia="宋体" w:cs="Times New Roman"/>
                <w:bCs/>
                <w:snapToGrid w:val="0"/>
                <w:color w:val="000000"/>
                <w:kern w:val="0"/>
                <w:sz w:val="24"/>
                <w:szCs w:val="24"/>
                <w:highlight w:val="none"/>
                <w:lang w:val="en-US" w:eastAsia="zh-CN" w:bidi="ar-SA"/>
              </w:rPr>
              <w:t>小时内降水量</w:t>
            </w:r>
            <w:r>
              <w:rPr>
                <w:rFonts w:hint="default" w:ascii="Times New Roman" w:hAnsi="Times New Roman" w:eastAsia="宋体" w:cs="Times New Roman"/>
                <w:bCs/>
                <w:snapToGrid w:val="0"/>
                <w:color w:val="000000"/>
                <w:kern w:val="0"/>
                <w:sz w:val="24"/>
                <w:szCs w:val="24"/>
                <w:highlight w:val="none"/>
                <w:lang w:val="en-US" w:eastAsia="zh-CN" w:bidi="ar-SA"/>
              </w:rPr>
              <w:t>25</w:t>
            </w:r>
            <w:r>
              <w:rPr>
                <w:rFonts w:hint="eastAsia" w:ascii="Times New Roman" w:hAnsi="Times New Roman" w:eastAsia="宋体" w:cs="Times New Roman"/>
                <w:bCs/>
                <w:snapToGrid w:val="0"/>
                <w:color w:val="000000"/>
                <w:kern w:val="0"/>
                <w:sz w:val="24"/>
                <w:szCs w:val="24"/>
                <w:highlight w:val="none"/>
                <w:lang w:val="en-US" w:eastAsia="zh-CN" w:bidi="ar-SA"/>
              </w:rPr>
              <w:t>～</w:t>
            </w:r>
            <w:r>
              <w:rPr>
                <w:rFonts w:hint="default" w:ascii="Times New Roman" w:hAnsi="Times New Roman" w:eastAsia="宋体" w:cs="Times New Roman"/>
                <w:bCs/>
                <w:snapToGrid w:val="0"/>
                <w:color w:val="000000"/>
                <w:kern w:val="0"/>
                <w:sz w:val="24"/>
                <w:szCs w:val="24"/>
                <w:highlight w:val="none"/>
                <w:lang w:val="en-US" w:eastAsia="zh-CN" w:bidi="ar-SA"/>
              </w:rPr>
              <w:t>50mm</w:t>
            </w:r>
            <w:r>
              <w:rPr>
                <w:rFonts w:hint="eastAsia" w:ascii="Times New Roman" w:hAnsi="Times New Roman" w:eastAsia="宋体" w:cs="Times New Roman"/>
                <w:bCs/>
                <w:snapToGrid w:val="0"/>
                <w:color w:val="000000"/>
                <w:kern w:val="0"/>
                <w:sz w:val="24"/>
                <w:szCs w:val="24"/>
                <w:highlight w:val="none"/>
                <w:lang w:val="en-US" w:eastAsia="zh-CN" w:bidi="ar-SA"/>
              </w:rPr>
              <w:t>的降雨过程。暴雨：凡</w:t>
            </w:r>
            <w:r>
              <w:rPr>
                <w:rFonts w:hint="default" w:ascii="Times New Roman" w:hAnsi="Times New Roman" w:eastAsia="宋体" w:cs="Times New Roman"/>
                <w:bCs/>
                <w:snapToGrid w:val="0"/>
                <w:color w:val="000000"/>
                <w:kern w:val="0"/>
                <w:sz w:val="24"/>
                <w:szCs w:val="24"/>
                <w:highlight w:val="none"/>
                <w:lang w:val="en-US" w:eastAsia="zh-CN" w:bidi="ar-SA"/>
              </w:rPr>
              <w:t>24</w:t>
            </w:r>
            <w:r>
              <w:rPr>
                <w:rFonts w:hint="eastAsia" w:ascii="Times New Roman" w:hAnsi="Times New Roman" w:eastAsia="宋体" w:cs="Times New Roman"/>
                <w:bCs/>
                <w:snapToGrid w:val="0"/>
                <w:color w:val="000000"/>
                <w:kern w:val="0"/>
                <w:sz w:val="24"/>
                <w:szCs w:val="24"/>
                <w:highlight w:val="none"/>
                <w:lang w:val="en-US" w:eastAsia="zh-CN" w:bidi="ar-SA"/>
              </w:rPr>
              <w:t>小时内降水量超过</w:t>
            </w:r>
            <w:r>
              <w:rPr>
                <w:rFonts w:hint="default" w:ascii="Times New Roman" w:hAnsi="Times New Roman" w:eastAsia="宋体" w:cs="Times New Roman"/>
                <w:bCs/>
                <w:snapToGrid w:val="0"/>
                <w:color w:val="000000"/>
                <w:kern w:val="0"/>
                <w:sz w:val="24"/>
                <w:szCs w:val="24"/>
                <w:highlight w:val="none"/>
                <w:lang w:val="en-US" w:eastAsia="zh-CN" w:bidi="ar-SA"/>
              </w:rPr>
              <w:t>50mm</w:t>
            </w:r>
            <w:r>
              <w:rPr>
                <w:rFonts w:hint="eastAsia" w:ascii="Times New Roman" w:hAnsi="Times New Roman" w:eastAsia="宋体" w:cs="Times New Roman"/>
                <w:bCs/>
                <w:snapToGrid w:val="0"/>
                <w:color w:val="000000"/>
                <w:kern w:val="0"/>
                <w:sz w:val="24"/>
                <w:szCs w:val="24"/>
                <w:highlight w:val="none"/>
                <w:lang w:val="en-US" w:eastAsia="zh-CN" w:bidi="ar-SA"/>
              </w:rPr>
              <w:t>的降雨过程统称为暴雨。</w:t>
            </w:r>
          </w:p>
          <w:p w14:paraId="7006EB80">
            <w:pPr>
              <w:keepNext w:val="0"/>
              <w:keepLines w:val="0"/>
              <w:pageBreakBefore w:val="0"/>
              <w:widowControl/>
              <w:suppressLineNumbers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宋体" w:cs="Times New Roman"/>
                <w:b/>
                <w:bCs w:val="0"/>
                <w:snapToGrid w:val="0"/>
                <w:color w:val="000000"/>
                <w:kern w:val="0"/>
                <w:sz w:val="24"/>
                <w:szCs w:val="24"/>
                <w:highlight w:val="none"/>
                <w:lang w:val="en-US" w:eastAsia="zh-CN" w:bidi="ar-SA"/>
              </w:rPr>
            </w:pPr>
            <w:r>
              <w:rPr>
                <w:rFonts w:hint="eastAsia" w:ascii="Times New Roman" w:hAnsi="Times New Roman" w:eastAsia="宋体" w:cs="Times New Roman"/>
                <w:b/>
                <w:bCs w:val="0"/>
                <w:snapToGrid w:val="0"/>
                <w:color w:val="000000"/>
                <w:kern w:val="0"/>
                <w:sz w:val="24"/>
                <w:szCs w:val="24"/>
                <w:highlight w:val="none"/>
                <w:lang w:val="en-US" w:eastAsia="zh-CN" w:bidi="ar-SA"/>
              </w:rPr>
              <w:t>表</w:t>
            </w:r>
            <w:r>
              <w:rPr>
                <w:rFonts w:hint="eastAsia" w:cs="Times New Roman"/>
                <w:b/>
                <w:bCs w:val="0"/>
                <w:snapToGrid w:val="0"/>
                <w:color w:val="000000"/>
                <w:kern w:val="0"/>
                <w:sz w:val="24"/>
                <w:szCs w:val="24"/>
                <w:highlight w:val="none"/>
                <w:lang w:val="en-US" w:eastAsia="zh-CN" w:bidi="ar-SA"/>
              </w:rPr>
              <w:t>4-9</w:t>
            </w:r>
            <w:r>
              <w:rPr>
                <w:rFonts w:hint="default" w:ascii="Times New Roman" w:hAnsi="Times New Roman" w:eastAsia="宋体" w:cs="Times New Roman"/>
                <w:b/>
                <w:bCs w:val="0"/>
                <w:snapToGrid w:val="0"/>
                <w:color w:val="000000"/>
                <w:kern w:val="0"/>
                <w:sz w:val="24"/>
                <w:szCs w:val="24"/>
                <w:highlight w:val="none"/>
                <w:lang w:val="en-US" w:eastAsia="zh-CN" w:bidi="ar-SA"/>
              </w:rPr>
              <w:t xml:space="preserve"> </w:t>
            </w:r>
            <w:r>
              <w:rPr>
                <w:rFonts w:hint="eastAsia" w:ascii="Times New Roman" w:hAnsi="Times New Roman" w:eastAsia="宋体" w:cs="Times New Roman"/>
                <w:b/>
                <w:bCs w:val="0"/>
                <w:snapToGrid w:val="0"/>
                <w:color w:val="000000"/>
                <w:kern w:val="0"/>
                <w:sz w:val="24"/>
                <w:szCs w:val="24"/>
                <w:highlight w:val="none"/>
                <w:lang w:val="en-US" w:eastAsia="zh-CN" w:bidi="ar-SA"/>
              </w:rPr>
              <w:t>暴雨情况下不同降雨厚度地表径流情况表</w:t>
            </w:r>
          </w:p>
          <w:tbl>
            <w:tblPr>
              <w:tblStyle w:val="1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99"/>
              <w:gridCol w:w="3003"/>
              <w:gridCol w:w="3003"/>
            </w:tblGrid>
            <w:tr w14:paraId="789563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5" w:type="pct"/>
                  <w:tcBorders>
                    <w:top w:val="single" w:color="auto" w:sz="12" w:space="0"/>
                    <w:bottom w:val="single" w:color="auto" w:sz="12" w:space="0"/>
                  </w:tcBorders>
                  <w:noWrap w:val="0"/>
                  <w:vAlign w:val="center"/>
                </w:tcPr>
                <w:p w14:paraId="6219EAF7">
                  <w:pPr>
                    <w:keepNext w:val="0"/>
                    <w:keepLines w:val="0"/>
                    <w:pageBreakBefore w:val="0"/>
                    <w:widowControl w:val="0"/>
                    <w:suppressLineNumbers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0"/>
                      <w:sz w:val="18"/>
                      <w:szCs w:val="18"/>
                      <w:highlight w:val="none"/>
                      <w:lang w:val="en-US" w:eastAsia="zh-CN" w:bidi="ar"/>
                    </w:rPr>
                  </w:pPr>
                  <w:r>
                    <w:rPr>
                      <w:rFonts w:hint="default" w:ascii="Times New Roman" w:hAnsi="Times New Roman" w:eastAsia="宋体" w:cs="Times New Roman"/>
                      <w:b w:val="0"/>
                      <w:bCs w:val="0"/>
                      <w:color w:val="000000"/>
                      <w:kern w:val="0"/>
                      <w:sz w:val="18"/>
                      <w:szCs w:val="18"/>
                      <w:highlight w:val="none"/>
                      <w:lang w:val="en-US" w:eastAsia="zh-CN" w:bidi="ar"/>
                    </w:rPr>
                    <w:t>50mm</w:t>
                  </w:r>
                  <w:r>
                    <w:rPr>
                      <w:rFonts w:hint="eastAsia" w:ascii="Times New Roman" w:hAnsi="Times New Roman" w:eastAsia="宋体" w:cs="Times New Roman"/>
                      <w:b w:val="0"/>
                      <w:bCs w:val="0"/>
                      <w:color w:val="000000"/>
                      <w:kern w:val="0"/>
                      <w:sz w:val="18"/>
                      <w:szCs w:val="18"/>
                      <w:highlight w:val="none"/>
                      <w:lang w:val="en-US" w:eastAsia="zh-CN" w:bidi="ar"/>
                    </w:rPr>
                    <w:t>水量（</w:t>
                  </w:r>
                  <w:r>
                    <w:rPr>
                      <w:rFonts w:hint="default" w:ascii="Times New Roman" w:hAnsi="Times New Roman" w:eastAsia="宋体" w:cs="Times New Roman"/>
                      <w:b w:val="0"/>
                      <w:bCs w:val="0"/>
                      <w:color w:val="000000"/>
                      <w:kern w:val="0"/>
                      <w:sz w:val="18"/>
                      <w:szCs w:val="18"/>
                      <w:highlight w:val="none"/>
                      <w:lang w:val="en-US" w:eastAsia="zh-CN" w:bidi="ar"/>
                    </w:rPr>
                    <w:t>m</w:t>
                  </w:r>
                  <w:r>
                    <w:rPr>
                      <w:rFonts w:hint="default" w:ascii="Times New Roman" w:hAnsi="Times New Roman" w:eastAsia="宋体" w:cs="Times New Roman"/>
                      <w:b w:val="0"/>
                      <w:bCs w:val="0"/>
                      <w:color w:val="000000"/>
                      <w:kern w:val="0"/>
                      <w:sz w:val="18"/>
                      <w:szCs w:val="18"/>
                      <w:highlight w:val="none"/>
                      <w:vertAlign w:val="superscript"/>
                      <w:lang w:val="en-US" w:eastAsia="zh-CN" w:bidi="ar"/>
                    </w:rPr>
                    <w:t>3</w:t>
                  </w:r>
                  <w:r>
                    <w:rPr>
                      <w:rFonts w:hint="eastAsia" w:ascii="Times New Roman" w:hAnsi="Times New Roman" w:eastAsia="宋体" w:cs="Times New Roman"/>
                      <w:b w:val="0"/>
                      <w:bCs w:val="0"/>
                      <w:color w:val="000000"/>
                      <w:kern w:val="0"/>
                      <w:sz w:val="18"/>
                      <w:szCs w:val="18"/>
                      <w:highlight w:val="none"/>
                      <w:lang w:val="en-US" w:eastAsia="zh-CN" w:bidi="ar"/>
                    </w:rPr>
                    <w:t>）</w:t>
                  </w:r>
                </w:p>
              </w:tc>
              <w:tc>
                <w:tcPr>
                  <w:tcW w:w="1667" w:type="pct"/>
                  <w:tcBorders>
                    <w:top w:val="single" w:color="auto" w:sz="12" w:space="0"/>
                    <w:bottom w:val="single" w:color="auto" w:sz="12" w:space="0"/>
                  </w:tcBorders>
                  <w:noWrap w:val="0"/>
                  <w:vAlign w:val="center"/>
                </w:tcPr>
                <w:p w14:paraId="11280F96">
                  <w:pPr>
                    <w:keepNext w:val="0"/>
                    <w:keepLines w:val="0"/>
                    <w:pageBreakBefore w:val="0"/>
                    <w:widowControl w:val="0"/>
                    <w:suppressLineNumbers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0"/>
                      <w:sz w:val="18"/>
                      <w:szCs w:val="18"/>
                      <w:highlight w:val="none"/>
                      <w:lang w:val="en-US" w:eastAsia="zh-CN" w:bidi="ar"/>
                    </w:rPr>
                  </w:pPr>
                  <w:r>
                    <w:rPr>
                      <w:rFonts w:hint="eastAsia" w:ascii="Times New Roman" w:hAnsi="Times New Roman" w:eastAsia="宋体" w:cs="Times New Roman"/>
                      <w:b w:val="0"/>
                      <w:bCs w:val="0"/>
                      <w:color w:val="000000"/>
                      <w:kern w:val="0"/>
                      <w:sz w:val="18"/>
                      <w:szCs w:val="18"/>
                      <w:highlight w:val="none"/>
                      <w:lang w:val="en-US" w:eastAsia="zh-CN" w:bidi="ar"/>
                    </w:rPr>
                    <w:t>20</w:t>
                  </w:r>
                  <w:r>
                    <w:rPr>
                      <w:rFonts w:hint="default" w:ascii="Times New Roman" w:hAnsi="Times New Roman" w:eastAsia="宋体" w:cs="Times New Roman"/>
                      <w:b w:val="0"/>
                      <w:bCs w:val="0"/>
                      <w:color w:val="000000"/>
                      <w:kern w:val="0"/>
                      <w:sz w:val="18"/>
                      <w:szCs w:val="18"/>
                      <w:highlight w:val="none"/>
                      <w:lang w:val="en-US" w:eastAsia="zh-CN" w:bidi="ar"/>
                    </w:rPr>
                    <w:t>0mm</w:t>
                  </w:r>
                  <w:r>
                    <w:rPr>
                      <w:rFonts w:hint="eastAsia" w:ascii="Times New Roman" w:hAnsi="Times New Roman" w:eastAsia="宋体" w:cs="Times New Roman"/>
                      <w:b w:val="0"/>
                      <w:bCs w:val="0"/>
                      <w:color w:val="000000"/>
                      <w:kern w:val="0"/>
                      <w:sz w:val="18"/>
                      <w:szCs w:val="18"/>
                      <w:highlight w:val="none"/>
                      <w:lang w:val="en-US" w:eastAsia="zh-CN" w:bidi="ar"/>
                    </w:rPr>
                    <w:t>水量（</w:t>
                  </w:r>
                  <w:r>
                    <w:rPr>
                      <w:rFonts w:hint="default" w:ascii="Times New Roman" w:hAnsi="Times New Roman" w:eastAsia="宋体" w:cs="Times New Roman"/>
                      <w:b w:val="0"/>
                      <w:bCs w:val="0"/>
                      <w:color w:val="000000"/>
                      <w:kern w:val="0"/>
                      <w:sz w:val="18"/>
                      <w:szCs w:val="18"/>
                      <w:highlight w:val="none"/>
                      <w:lang w:val="en-US" w:eastAsia="zh-CN" w:bidi="ar"/>
                    </w:rPr>
                    <w:t>m</w:t>
                  </w:r>
                  <w:r>
                    <w:rPr>
                      <w:rFonts w:hint="default" w:ascii="Times New Roman" w:hAnsi="Times New Roman" w:eastAsia="宋体" w:cs="Times New Roman"/>
                      <w:b w:val="0"/>
                      <w:bCs w:val="0"/>
                      <w:color w:val="000000"/>
                      <w:kern w:val="0"/>
                      <w:sz w:val="18"/>
                      <w:szCs w:val="18"/>
                      <w:highlight w:val="none"/>
                      <w:vertAlign w:val="superscript"/>
                      <w:lang w:val="en-US" w:eastAsia="zh-CN" w:bidi="ar"/>
                    </w:rPr>
                    <w:t>3</w:t>
                  </w:r>
                  <w:r>
                    <w:rPr>
                      <w:rFonts w:hint="eastAsia" w:ascii="Times New Roman" w:hAnsi="Times New Roman" w:eastAsia="宋体" w:cs="Times New Roman"/>
                      <w:b w:val="0"/>
                      <w:bCs w:val="0"/>
                      <w:color w:val="000000"/>
                      <w:kern w:val="0"/>
                      <w:sz w:val="18"/>
                      <w:szCs w:val="18"/>
                      <w:highlight w:val="none"/>
                      <w:lang w:val="en-US" w:eastAsia="zh-CN" w:bidi="ar"/>
                    </w:rPr>
                    <w:t>）</w:t>
                  </w:r>
                </w:p>
              </w:tc>
              <w:tc>
                <w:tcPr>
                  <w:tcW w:w="1667" w:type="pct"/>
                  <w:tcBorders>
                    <w:top w:val="single" w:color="auto" w:sz="12" w:space="0"/>
                    <w:bottom w:val="single" w:color="auto" w:sz="12" w:space="0"/>
                  </w:tcBorders>
                  <w:noWrap w:val="0"/>
                  <w:vAlign w:val="center"/>
                </w:tcPr>
                <w:p w14:paraId="73C399AB">
                  <w:pPr>
                    <w:keepNext w:val="0"/>
                    <w:keepLines w:val="0"/>
                    <w:pageBreakBefore w:val="0"/>
                    <w:widowControl w:val="0"/>
                    <w:suppressLineNumbers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0"/>
                      <w:sz w:val="18"/>
                      <w:szCs w:val="18"/>
                      <w:highlight w:val="none"/>
                      <w:lang w:val="en-US" w:eastAsia="zh-CN" w:bidi="ar"/>
                    </w:rPr>
                  </w:pPr>
                  <w:r>
                    <w:rPr>
                      <w:rFonts w:hint="eastAsia" w:cs="Times New Roman"/>
                      <w:b w:val="0"/>
                      <w:bCs w:val="0"/>
                      <w:color w:val="000000"/>
                      <w:kern w:val="0"/>
                      <w:sz w:val="18"/>
                      <w:szCs w:val="18"/>
                      <w:highlight w:val="none"/>
                      <w:lang w:val="en-US" w:eastAsia="zh-CN" w:bidi="ar"/>
                    </w:rPr>
                    <w:t>300mm水量</w:t>
                  </w:r>
                  <w:r>
                    <w:rPr>
                      <w:rFonts w:hint="eastAsia" w:ascii="Times New Roman" w:hAnsi="Times New Roman" w:eastAsia="宋体" w:cs="Times New Roman"/>
                      <w:b w:val="0"/>
                      <w:bCs w:val="0"/>
                      <w:color w:val="000000"/>
                      <w:kern w:val="0"/>
                      <w:sz w:val="18"/>
                      <w:szCs w:val="18"/>
                      <w:highlight w:val="none"/>
                      <w:lang w:val="en-US" w:eastAsia="zh-CN" w:bidi="ar"/>
                    </w:rPr>
                    <w:t>（</w:t>
                  </w:r>
                  <w:r>
                    <w:rPr>
                      <w:rFonts w:hint="default" w:ascii="Times New Roman" w:hAnsi="Times New Roman" w:eastAsia="宋体" w:cs="Times New Roman"/>
                      <w:b w:val="0"/>
                      <w:bCs w:val="0"/>
                      <w:color w:val="000000"/>
                      <w:kern w:val="0"/>
                      <w:sz w:val="18"/>
                      <w:szCs w:val="18"/>
                      <w:highlight w:val="none"/>
                      <w:lang w:val="en-US" w:eastAsia="zh-CN" w:bidi="ar"/>
                    </w:rPr>
                    <w:t>m</w:t>
                  </w:r>
                  <w:r>
                    <w:rPr>
                      <w:rFonts w:hint="default" w:ascii="Times New Roman" w:hAnsi="Times New Roman" w:eastAsia="宋体" w:cs="Times New Roman"/>
                      <w:b w:val="0"/>
                      <w:bCs w:val="0"/>
                      <w:color w:val="000000"/>
                      <w:kern w:val="0"/>
                      <w:sz w:val="18"/>
                      <w:szCs w:val="18"/>
                      <w:highlight w:val="none"/>
                      <w:vertAlign w:val="superscript"/>
                      <w:lang w:val="en-US" w:eastAsia="zh-CN" w:bidi="ar"/>
                    </w:rPr>
                    <w:t>3</w:t>
                  </w:r>
                  <w:r>
                    <w:rPr>
                      <w:rFonts w:hint="eastAsia" w:ascii="Times New Roman" w:hAnsi="Times New Roman" w:eastAsia="宋体" w:cs="Times New Roman"/>
                      <w:b w:val="0"/>
                      <w:bCs w:val="0"/>
                      <w:color w:val="000000"/>
                      <w:kern w:val="0"/>
                      <w:sz w:val="18"/>
                      <w:szCs w:val="18"/>
                      <w:highlight w:val="none"/>
                      <w:lang w:val="en-US" w:eastAsia="zh-CN" w:bidi="ar"/>
                    </w:rPr>
                    <w:t>）</w:t>
                  </w:r>
                </w:p>
              </w:tc>
            </w:tr>
            <w:tr w14:paraId="5B7064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35" w:type="dxa"/>
                  <w:tcBorders>
                    <w:top w:val="single" w:color="auto" w:sz="12" w:space="0"/>
                    <w:bottom w:val="single" w:color="auto" w:sz="12" w:space="0"/>
                  </w:tcBorders>
                  <w:noWrap w:val="0"/>
                  <w:vAlign w:val="center"/>
                </w:tcPr>
                <w:p w14:paraId="119C1E3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 w:val="0"/>
                      <w:bCs w:val="0"/>
                      <w:color w:val="000000"/>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12445</w:t>
                  </w:r>
                </w:p>
              </w:tc>
              <w:tc>
                <w:tcPr>
                  <w:tcW w:w="3040" w:type="dxa"/>
                  <w:tcBorders>
                    <w:top w:val="single" w:color="auto" w:sz="12" w:space="0"/>
                    <w:bottom w:val="single" w:color="auto" w:sz="12" w:space="0"/>
                  </w:tcBorders>
                  <w:noWrap w:val="0"/>
                  <w:vAlign w:val="center"/>
                </w:tcPr>
                <w:p w14:paraId="73A9A42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 w:val="0"/>
                      <w:bCs w:val="0"/>
                      <w:color w:val="000000"/>
                      <w:kern w:val="0"/>
                      <w:sz w:val="18"/>
                      <w:szCs w:val="18"/>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49779</w:t>
                  </w:r>
                </w:p>
              </w:tc>
              <w:tc>
                <w:tcPr>
                  <w:tcW w:w="3040" w:type="dxa"/>
                  <w:tcBorders>
                    <w:top w:val="single" w:color="auto" w:sz="12" w:space="0"/>
                    <w:bottom w:val="single" w:color="auto" w:sz="12" w:space="0"/>
                  </w:tcBorders>
                  <w:noWrap w:val="0"/>
                  <w:vAlign w:val="center"/>
                </w:tcPr>
                <w:p w14:paraId="7687FB9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74669</w:t>
                  </w:r>
                </w:p>
              </w:tc>
            </w:tr>
          </w:tbl>
          <w:p w14:paraId="531B51CC">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根据《湖北暴雨统计参数图集》（</w:t>
            </w:r>
            <w:r>
              <w:rPr>
                <w:rFonts w:hint="default" w:ascii="Times New Roman" w:hAnsi="Times New Roman" w:eastAsia="宋体" w:cs="Times New Roman"/>
                <w:color w:val="000000"/>
                <w:kern w:val="0"/>
                <w:sz w:val="24"/>
                <w:szCs w:val="24"/>
                <w:highlight w:val="none"/>
                <w:lang w:val="en-US" w:eastAsia="zh-CN" w:bidi="ar"/>
              </w:rPr>
              <w:t>2008</w:t>
            </w:r>
            <w:r>
              <w:rPr>
                <w:rFonts w:hint="eastAsia" w:ascii="Times New Roman" w:hAnsi="Times New Roman" w:eastAsia="宋体" w:cs="Times New Roman"/>
                <w:color w:val="000000"/>
                <w:kern w:val="0"/>
                <w:sz w:val="24"/>
                <w:szCs w:val="24"/>
                <w:highlight w:val="none"/>
                <w:lang w:val="en-US" w:eastAsia="zh-CN" w:bidi="ar"/>
              </w:rPr>
              <w:t>版）中的“湖北省最大</w:t>
            </w:r>
            <w:r>
              <w:rPr>
                <w:rFonts w:hint="default" w:ascii="Times New Roman" w:hAnsi="Times New Roman" w:eastAsia="宋体" w:cs="Times New Roman"/>
                <w:color w:val="000000"/>
                <w:kern w:val="0"/>
                <w:sz w:val="24"/>
                <w:szCs w:val="24"/>
                <w:highlight w:val="none"/>
                <w:lang w:val="en-US" w:eastAsia="zh-CN" w:bidi="ar"/>
              </w:rPr>
              <w:t>1</w:t>
            </w:r>
            <w:r>
              <w:rPr>
                <w:rFonts w:hint="eastAsia" w:ascii="Times New Roman" w:hAnsi="Times New Roman" w:eastAsia="宋体" w:cs="Times New Roman"/>
                <w:color w:val="000000"/>
                <w:kern w:val="0"/>
                <w:sz w:val="24"/>
                <w:szCs w:val="24"/>
                <w:highlight w:val="none"/>
                <w:lang w:val="en-US" w:eastAsia="zh-CN" w:bidi="ar"/>
              </w:rPr>
              <w:t>小时暴雨均值等值线图”，麻城市十年一遇的大暴雨导致的</w:t>
            </w:r>
            <w:r>
              <w:rPr>
                <w:rFonts w:hint="default" w:ascii="Times New Roman" w:hAnsi="Times New Roman" w:eastAsia="宋体" w:cs="Times New Roman"/>
                <w:color w:val="000000"/>
                <w:kern w:val="0"/>
                <w:sz w:val="24"/>
                <w:szCs w:val="24"/>
                <w:highlight w:val="none"/>
                <w:lang w:val="en-US" w:eastAsia="zh-CN" w:bidi="ar"/>
              </w:rPr>
              <w:t>1</w:t>
            </w:r>
            <w:r>
              <w:rPr>
                <w:rFonts w:hint="eastAsia" w:ascii="Times New Roman" w:hAnsi="Times New Roman" w:eastAsia="宋体" w:cs="Times New Roman"/>
                <w:color w:val="000000"/>
                <w:kern w:val="0"/>
                <w:sz w:val="24"/>
                <w:szCs w:val="24"/>
                <w:highlight w:val="none"/>
                <w:lang w:val="en-US" w:eastAsia="zh-CN" w:bidi="ar"/>
              </w:rPr>
              <w:t>小时洪水峰值，</w:t>
            </w:r>
            <w:r>
              <w:rPr>
                <w:rFonts w:hint="default" w:ascii="Times New Roman" w:hAnsi="Times New Roman" w:eastAsia="宋体" w:cs="Times New Roman"/>
                <w:color w:val="000000"/>
                <w:kern w:val="0"/>
                <w:sz w:val="24"/>
                <w:szCs w:val="24"/>
                <w:highlight w:val="none"/>
                <w:lang w:val="en-US" w:eastAsia="zh-CN" w:bidi="ar"/>
              </w:rPr>
              <w:t>1</w:t>
            </w:r>
            <w:r>
              <w:rPr>
                <w:rFonts w:hint="eastAsia" w:ascii="Times New Roman" w:hAnsi="Times New Roman" w:eastAsia="宋体" w:cs="Times New Roman"/>
                <w:color w:val="000000"/>
                <w:kern w:val="0"/>
                <w:sz w:val="24"/>
                <w:szCs w:val="24"/>
                <w:highlight w:val="none"/>
                <w:lang w:val="en-US" w:eastAsia="zh-CN" w:bidi="ar"/>
              </w:rPr>
              <w:t>小时点暴雨量是</w:t>
            </w:r>
            <w:r>
              <w:rPr>
                <w:rFonts w:hint="default" w:ascii="Times New Roman" w:hAnsi="Times New Roman" w:eastAsia="宋体" w:cs="Times New Roman"/>
                <w:color w:val="000000"/>
                <w:kern w:val="0"/>
                <w:sz w:val="24"/>
                <w:szCs w:val="24"/>
                <w:highlight w:val="none"/>
                <w:lang w:val="en-US" w:eastAsia="zh-CN" w:bidi="ar"/>
              </w:rPr>
              <w:t>69mm</w:t>
            </w:r>
            <w:r>
              <w:rPr>
                <w:rFonts w:hint="eastAsia" w:ascii="Times New Roman" w:hAnsi="Times New Roman" w:eastAsia="宋体" w:cs="Times New Roman"/>
                <w:color w:val="000000"/>
                <w:kern w:val="0"/>
                <w:sz w:val="24"/>
                <w:szCs w:val="24"/>
                <w:highlight w:val="none"/>
                <w:lang w:val="en-US" w:eastAsia="zh-CN" w:bidi="ar"/>
              </w:rPr>
              <w:t>。</w:t>
            </w:r>
          </w:p>
          <w:p w14:paraId="75F035B0">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color w:val="000000"/>
                <w:kern w:val="0"/>
                <w:sz w:val="24"/>
                <w:szCs w:val="24"/>
                <w:highlight w:val="none"/>
                <w:vertAlign w:val="baseline"/>
                <w:lang w:val="en-US" w:eastAsia="zh-CN" w:bidi="ar"/>
              </w:rPr>
            </w:pPr>
            <w:r>
              <w:rPr>
                <w:rFonts w:hint="eastAsia" w:ascii="Times New Roman" w:hAnsi="Times New Roman" w:eastAsia="宋体" w:cs="Times New Roman"/>
                <w:color w:val="000000"/>
                <w:kern w:val="0"/>
                <w:sz w:val="24"/>
                <w:szCs w:val="24"/>
                <w:highlight w:val="none"/>
                <w:lang w:val="en-US" w:eastAsia="zh-CN" w:bidi="ar"/>
              </w:rPr>
              <w:t>考虑到</w:t>
            </w:r>
            <w:r>
              <w:rPr>
                <w:rFonts w:hint="eastAsia" w:ascii="Times New Roman" w:hAnsi="Times New Roman" w:eastAsia="宋体" w:cs="Times New Roman"/>
                <w:bCs/>
                <w:snapToGrid w:val="0"/>
                <w:color w:val="000000"/>
                <w:kern w:val="0"/>
                <w:sz w:val="24"/>
                <w:szCs w:val="24"/>
                <w:highlight w:val="none"/>
                <w:lang w:val="en-US" w:eastAsia="zh-CN" w:bidi="ar-SA"/>
              </w:rPr>
              <w:t>近年来，由于极端天气频发，全球变暖也导致大多数区域降水强度增强，为保障麻城市白鸭山矿区各个流域的水环境安全，本评价按照暴雨情况进行初期雨水核算。</w:t>
            </w:r>
            <w:r>
              <w:rPr>
                <w:rFonts w:hint="eastAsia" w:cs="Times New Roman"/>
                <w:color w:val="000000"/>
                <w:kern w:val="0"/>
                <w:sz w:val="24"/>
                <w:szCs w:val="24"/>
                <w:highlight w:val="none"/>
                <w:lang w:val="en-US" w:eastAsia="zh-CN" w:bidi="ar"/>
              </w:rPr>
              <w:t>应管理部门要求，</w:t>
            </w:r>
            <w:r>
              <w:rPr>
                <w:rFonts w:hint="eastAsia" w:ascii="Times New Roman" w:hAnsi="Times New Roman" w:eastAsia="宋体" w:cs="Times New Roman"/>
                <w:color w:val="000000"/>
                <w:kern w:val="0"/>
                <w:sz w:val="24"/>
                <w:szCs w:val="24"/>
                <w:highlight w:val="none"/>
                <w:lang w:val="en-US" w:eastAsia="zh-CN" w:bidi="ar"/>
              </w:rPr>
              <w:t>采取</w:t>
            </w:r>
            <w:r>
              <w:rPr>
                <w:rFonts w:hint="eastAsia" w:cs="Times New Roman"/>
                <w:color w:val="000000"/>
                <w:kern w:val="0"/>
                <w:sz w:val="24"/>
                <w:szCs w:val="24"/>
                <w:highlight w:val="none"/>
                <w:lang w:val="en-US" w:eastAsia="zh-CN" w:bidi="ar"/>
              </w:rPr>
              <w:t>300</w:t>
            </w:r>
            <w:r>
              <w:rPr>
                <w:rFonts w:hint="default" w:ascii="Times New Roman" w:hAnsi="Times New Roman" w:eastAsia="宋体" w:cs="Times New Roman"/>
                <w:color w:val="000000"/>
                <w:kern w:val="0"/>
                <w:sz w:val="24"/>
                <w:szCs w:val="24"/>
                <w:highlight w:val="none"/>
                <w:lang w:val="en-US" w:eastAsia="zh-CN" w:bidi="ar"/>
              </w:rPr>
              <w:t>mm</w:t>
            </w:r>
            <w:r>
              <w:rPr>
                <w:rFonts w:hint="eastAsia" w:ascii="Times New Roman" w:hAnsi="Times New Roman" w:eastAsia="宋体" w:cs="Times New Roman"/>
                <w:color w:val="000000"/>
                <w:kern w:val="0"/>
                <w:sz w:val="24"/>
                <w:szCs w:val="24"/>
                <w:highlight w:val="none"/>
                <w:lang w:val="en-US" w:eastAsia="zh-CN" w:bidi="ar"/>
              </w:rPr>
              <w:t>内全收集的方式来设计此次初期雨水收集池的容积，</w:t>
            </w:r>
            <w:r>
              <w:rPr>
                <w:rFonts w:hint="eastAsia" w:cs="Times New Roman"/>
                <w:color w:val="000000"/>
                <w:kern w:val="0"/>
                <w:sz w:val="24"/>
                <w:szCs w:val="24"/>
                <w:highlight w:val="none"/>
                <w:lang w:val="en-US" w:eastAsia="zh-CN" w:bidi="ar"/>
              </w:rPr>
              <w:t>300</w:t>
            </w:r>
            <w:r>
              <w:rPr>
                <w:rFonts w:hint="default" w:ascii="Times New Roman" w:hAnsi="Times New Roman" w:eastAsia="宋体" w:cs="Times New Roman"/>
                <w:color w:val="000000"/>
                <w:kern w:val="0"/>
                <w:sz w:val="24"/>
                <w:szCs w:val="24"/>
                <w:highlight w:val="none"/>
                <w:lang w:val="en-US" w:eastAsia="zh-CN" w:bidi="ar"/>
              </w:rPr>
              <w:t>mm</w:t>
            </w:r>
            <w:r>
              <w:rPr>
                <w:rFonts w:hint="eastAsia" w:ascii="Times New Roman" w:hAnsi="Times New Roman" w:eastAsia="宋体" w:cs="Times New Roman"/>
                <w:color w:val="000000"/>
                <w:kern w:val="0"/>
                <w:sz w:val="24"/>
                <w:szCs w:val="24"/>
                <w:highlight w:val="none"/>
                <w:lang w:val="en-US" w:eastAsia="zh-CN" w:bidi="ar"/>
              </w:rPr>
              <w:t>以外的后期雨水通过泄洪道排走，C</w:t>
            </w:r>
            <w:r>
              <w:rPr>
                <w:rFonts w:hint="eastAsia" w:cs="Times New Roman"/>
                <w:color w:val="000000"/>
                <w:kern w:val="0"/>
                <w:sz w:val="24"/>
                <w:szCs w:val="24"/>
                <w:highlight w:val="none"/>
                <w:lang w:val="en-US" w:eastAsia="zh-CN" w:bidi="ar"/>
              </w:rPr>
              <w:t>8</w:t>
            </w:r>
            <w:r>
              <w:rPr>
                <w:rFonts w:hint="eastAsia" w:ascii="Times New Roman" w:hAnsi="Times New Roman" w:eastAsia="宋体" w:cs="Times New Roman"/>
                <w:color w:val="000000"/>
                <w:kern w:val="0"/>
                <w:sz w:val="24"/>
                <w:szCs w:val="24"/>
                <w:highlight w:val="none"/>
                <w:lang w:val="en-US" w:eastAsia="zh-CN" w:bidi="ar"/>
              </w:rPr>
              <w:t>区块内</w:t>
            </w:r>
            <w:r>
              <w:rPr>
                <w:rFonts w:hint="eastAsia" w:cs="Times New Roman"/>
                <w:color w:val="000000"/>
                <w:kern w:val="0"/>
                <w:sz w:val="24"/>
                <w:szCs w:val="24"/>
                <w:highlight w:val="none"/>
                <w:lang w:val="en-US" w:eastAsia="zh-CN" w:bidi="ar"/>
              </w:rPr>
              <w:t>300mm降雨情况下须收集</w:t>
            </w:r>
            <w:r>
              <w:rPr>
                <w:rFonts w:hint="eastAsia" w:ascii="Times New Roman" w:hAnsi="Times New Roman" w:eastAsia="宋体" w:cs="Times New Roman"/>
                <w:color w:val="000000"/>
                <w:kern w:val="0"/>
                <w:sz w:val="24"/>
                <w:szCs w:val="24"/>
                <w:highlight w:val="none"/>
                <w:lang w:val="en-US" w:eastAsia="zh-CN" w:bidi="ar"/>
              </w:rPr>
              <w:t>雨水</w:t>
            </w:r>
            <w:r>
              <w:rPr>
                <w:rFonts w:hint="eastAsia" w:cs="Times New Roman"/>
                <w:color w:val="000000"/>
                <w:kern w:val="0"/>
                <w:sz w:val="24"/>
                <w:szCs w:val="24"/>
                <w:highlight w:val="none"/>
                <w:lang w:val="en-US" w:eastAsia="zh-CN" w:bidi="ar"/>
              </w:rPr>
              <w:t>水量</w:t>
            </w:r>
            <w:r>
              <w:rPr>
                <w:rFonts w:hint="eastAsia" w:ascii="Times New Roman" w:hAnsi="Times New Roman" w:eastAsia="宋体" w:cs="Times New Roman"/>
                <w:color w:val="000000"/>
                <w:kern w:val="0"/>
                <w:sz w:val="24"/>
                <w:szCs w:val="24"/>
                <w:highlight w:val="none"/>
                <w:lang w:val="en-US" w:eastAsia="zh-CN" w:bidi="ar"/>
              </w:rPr>
              <w:t>为</w:t>
            </w:r>
            <w:r>
              <w:rPr>
                <w:rFonts w:hint="default" w:ascii="Times New Roman" w:hAnsi="Times New Roman" w:eastAsia="宋体" w:cs="Times New Roman"/>
                <w:color w:val="000000"/>
                <w:kern w:val="0"/>
                <w:sz w:val="24"/>
                <w:szCs w:val="24"/>
                <w:highlight w:val="none"/>
                <w:lang w:val="en-US" w:eastAsia="zh-CN" w:bidi="ar"/>
              </w:rPr>
              <w:t>74669</w:t>
            </w:r>
            <w:r>
              <w:rPr>
                <w:rFonts w:hint="eastAsia" w:ascii="Times New Roman" w:hAnsi="Times New Roman" w:eastAsia="宋体" w:cs="Times New Roman"/>
                <w:color w:val="000000"/>
                <w:kern w:val="0"/>
                <w:sz w:val="24"/>
                <w:szCs w:val="24"/>
                <w:highlight w:val="none"/>
                <w:lang w:val="en-US" w:eastAsia="zh-CN" w:bidi="ar"/>
              </w:rPr>
              <w:t>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eastAsia" w:cs="Times New Roman"/>
                <w:color w:val="000000"/>
                <w:kern w:val="0"/>
                <w:sz w:val="24"/>
                <w:szCs w:val="24"/>
                <w:highlight w:val="none"/>
                <w:vertAlign w:val="baseline"/>
                <w:lang w:val="en-US" w:eastAsia="zh-CN" w:bidi="ar"/>
              </w:rPr>
              <w:t>。</w:t>
            </w:r>
          </w:p>
          <w:p w14:paraId="34BF0748">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kern w:val="0"/>
                <w:sz w:val="24"/>
                <w:szCs w:val="24"/>
                <w:highlight w:val="none"/>
                <w:lang w:val="en-US" w:eastAsia="zh-CN" w:bidi="ar"/>
              </w:rPr>
            </w:pPr>
            <w:r>
              <w:rPr>
                <w:rFonts w:hint="eastAsia" w:cs="Times New Roman"/>
                <w:color w:val="000000"/>
                <w:kern w:val="0"/>
                <w:sz w:val="24"/>
                <w:szCs w:val="24"/>
                <w:highlight w:val="none"/>
                <w:vertAlign w:val="baseline"/>
                <w:lang w:val="en-US" w:eastAsia="zh-CN" w:bidi="ar"/>
              </w:rPr>
              <w:t>现有C5矿区</w:t>
            </w:r>
            <w:r>
              <w:rPr>
                <w:rFonts w:hint="eastAsia" w:ascii="Times New Roman" w:hAnsi="Times New Roman" w:eastAsia="宋体" w:cs="Times New Roman"/>
                <w:color w:val="000000"/>
                <w:kern w:val="0"/>
                <w:sz w:val="24"/>
                <w:szCs w:val="24"/>
                <w:highlight w:val="none"/>
                <w:lang w:val="en-US" w:eastAsia="zh-CN" w:bidi="ar"/>
              </w:rPr>
              <w:t>初期雨水收集能力为106670m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eastAsia" w:cs="Times New Roman"/>
                <w:color w:val="000000"/>
                <w:kern w:val="0"/>
                <w:sz w:val="24"/>
                <w:szCs w:val="24"/>
                <w:highlight w:val="none"/>
                <w:lang w:val="en-US" w:eastAsia="zh-CN" w:bidi="ar"/>
              </w:rPr>
              <w:t>，可以</w:t>
            </w:r>
            <w:r>
              <w:rPr>
                <w:rFonts w:hint="eastAsia" w:ascii="Times New Roman" w:hAnsi="Times New Roman" w:eastAsia="宋体" w:cs="Times New Roman"/>
                <w:color w:val="000000"/>
                <w:kern w:val="0"/>
                <w:sz w:val="24"/>
                <w:szCs w:val="24"/>
                <w:highlight w:val="none"/>
                <w:vertAlign w:val="baseline"/>
                <w:lang w:val="en-US" w:eastAsia="zh-CN" w:bidi="ar"/>
              </w:rPr>
              <w:t>满足收集300mm初期雨水的需求</w:t>
            </w:r>
            <w:r>
              <w:rPr>
                <w:rFonts w:hint="eastAsia" w:ascii="Times New Roman" w:hAnsi="Times New Roman" w:eastAsia="宋体" w:cs="Times New Roman"/>
                <w:color w:val="000000"/>
                <w:kern w:val="0"/>
                <w:sz w:val="24"/>
                <w:szCs w:val="24"/>
                <w:highlight w:val="none"/>
                <w:lang w:val="en-US" w:eastAsia="zh-CN" w:bidi="ar"/>
              </w:rPr>
              <w:t>。</w:t>
            </w:r>
          </w:p>
          <w:p w14:paraId="3902EA9D">
            <w:pPr>
              <w:keepNext w:val="0"/>
              <w:keepLines w:val="0"/>
              <w:pageBreakBefore w:val="0"/>
              <w:widowControl w:val="0"/>
              <w:kinsoku/>
              <w:wordWrap/>
              <w:overflowPunct/>
              <w:topLinePunct w:val="0"/>
              <w:autoSpaceDE/>
              <w:autoSpaceDN/>
              <w:bidi w:val="0"/>
              <w:adjustRightInd/>
              <w:snapToGrid w:val="0"/>
              <w:spacing w:line="360" w:lineRule="auto"/>
              <w:ind w:right="0" w:firstLine="480" w:firstLineChars="200"/>
              <w:textAlignment w:val="auto"/>
              <w:rPr>
                <w:rFonts w:hint="default" w:ascii="Times New Roman" w:hAnsi="Times New Roman" w:eastAsia="宋体" w:cs="Times New Roman"/>
                <w:b w:val="0"/>
                <w:bCs/>
                <w:color w:val="000000"/>
                <w:sz w:val="24"/>
                <w:szCs w:val="24"/>
                <w:highlight w:val="none"/>
                <w:lang w:val="en-US" w:eastAsia="zh-CN"/>
              </w:rPr>
            </w:pPr>
            <w:r>
              <w:rPr>
                <w:rFonts w:hint="eastAsia" w:ascii="Times New Roman" w:hAnsi="Times New Roman" w:eastAsia="宋体" w:cs="Times New Roman"/>
                <w:b w:val="0"/>
                <w:bCs/>
                <w:color w:val="000000"/>
                <w:sz w:val="24"/>
                <w:szCs w:val="24"/>
                <w:highlight w:val="none"/>
                <w:lang w:val="en-US" w:eastAsia="zh-CN"/>
              </w:rPr>
              <w:fldChar w:fldCharType="begin"/>
            </w:r>
            <w:r>
              <w:rPr>
                <w:rFonts w:hint="eastAsia" w:ascii="Times New Roman" w:hAnsi="Times New Roman" w:eastAsia="宋体" w:cs="Times New Roman"/>
                <w:b w:val="0"/>
                <w:bCs/>
                <w:color w:val="000000"/>
                <w:sz w:val="24"/>
                <w:szCs w:val="24"/>
                <w:highlight w:val="none"/>
                <w:lang w:val="en-US" w:eastAsia="zh-CN"/>
              </w:rPr>
              <w:instrText xml:space="preserve"> = 2 \* GB3 \* MERGEFORMAT </w:instrText>
            </w:r>
            <w:r>
              <w:rPr>
                <w:rFonts w:hint="eastAsia" w:ascii="Times New Roman" w:hAnsi="Times New Roman" w:eastAsia="宋体" w:cs="Times New Roman"/>
                <w:b w:val="0"/>
                <w:bCs/>
                <w:color w:val="000000"/>
                <w:sz w:val="24"/>
                <w:szCs w:val="24"/>
                <w:highlight w:val="none"/>
                <w:lang w:val="en-US" w:eastAsia="zh-CN"/>
              </w:rPr>
              <w:fldChar w:fldCharType="separate"/>
            </w:r>
            <w:r>
              <w:rPr>
                <w:color w:val="000000"/>
                <w:sz w:val="24"/>
                <w:szCs w:val="24"/>
                <w:highlight w:val="none"/>
              </w:rPr>
              <w:t>②</w:t>
            </w:r>
            <w:r>
              <w:rPr>
                <w:rFonts w:hint="eastAsia" w:ascii="Times New Roman" w:hAnsi="Times New Roman" w:eastAsia="宋体" w:cs="Times New Roman"/>
                <w:b w:val="0"/>
                <w:bCs/>
                <w:color w:val="000000"/>
                <w:sz w:val="24"/>
                <w:szCs w:val="24"/>
                <w:highlight w:val="none"/>
                <w:lang w:val="en-US" w:eastAsia="zh-CN"/>
              </w:rPr>
              <w:fldChar w:fldCharType="end"/>
            </w:r>
            <w:r>
              <w:rPr>
                <w:rFonts w:hint="eastAsia" w:ascii="Times New Roman" w:hAnsi="Times New Roman" w:eastAsia="宋体" w:cs="Times New Roman"/>
                <w:b w:val="0"/>
                <w:bCs/>
                <w:color w:val="000000"/>
                <w:sz w:val="24"/>
                <w:szCs w:val="24"/>
                <w:highlight w:val="none"/>
                <w:lang w:val="en-US" w:eastAsia="zh-CN"/>
              </w:rPr>
              <w:t>初期雨水收集量的确定</w:t>
            </w:r>
          </w:p>
          <w:p w14:paraId="16405522">
            <w:pPr>
              <w:keepNext w:val="0"/>
              <w:keepLines w:val="0"/>
              <w:pageBreakBefore w:val="0"/>
              <w:widowControl w:val="0"/>
              <w:kinsoku/>
              <w:wordWrap/>
              <w:overflowPunct/>
              <w:topLinePunct w:val="0"/>
              <w:autoSpaceDE/>
              <w:autoSpaceDN/>
              <w:bidi w:val="0"/>
              <w:adjustRightInd/>
              <w:snapToGrid w:val="0"/>
              <w:spacing w:line="360" w:lineRule="auto"/>
              <w:ind w:right="0" w:firstLine="480" w:firstLineChars="200"/>
              <w:textAlignment w:val="auto"/>
              <w:rPr>
                <w:rFonts w:hint="default" w:ascii="Times New Roman" w:hAnsi="Times New Roman" w:eastAsia="宋体" w:cs="Times New Roman"/>
                <w:b w:val="0"/>
                <w:bCs/>
                <w:color w:val="000000"/>
                <w:sz w:val="24"/>
                <w:szCs w:val="24"/>
                <w:highlight w:val="none"/>
                <w:lang w:val="en-US" w:eastAsia="zh-CN"/>
              </w:rPr>
            </w:pPr>
            <w:r>
              <w:rPr>
                <w:rFonts w:hint="eastAsia" w:cs="Times New Roman"/>
                <w:b w:val="0"/>
                <w:bCs/>
                <w:color w:val="000000"/>
                <w:sz w:val="24"/>
                <w:szCs w:val="24"/>
                <w:highlight w:val="none"/>
                <w:lang w:val="en-US" w:eastAsia="zh-CN"/>
              </w:rPr>
              <w:t>麻城市</w:t>
            </w:r>
            <w:r>
              <w:rPr>
                <w:rFonts w:hint="eastAsia" w:ascii="Times New Roman" w:hAnsi="Times New Roman" w:eastAsia="宋体" w:cs="Times New Roman"/>
                <w:b w:val="0"/>
                <w:bCs/>
                <w:color w:val="000000"/>
                <w:sz w:val="24"/>
                <w:szCs w:val="24"/>
                <w:highlight w:val="none"/>
                <w:lang w:val="en-US" w:eastAsia="zh-CN"/>
              </w:rPr>
              <w:t>年平均降水量1291.5毫米，</w:t>
            </w:r>
            <w:r>
              <w:rPr>
                <w:rFonts w:hint="eastAsia" w:cs="Times New Roman"/>
                <w:b w:val="0"/>
                <w:bCs/>
                <w:color w:val="000000"/>
                <w:sz w:val="24"/>
                <w:szCs w:val="24"/>
                <w:highlight w:val="none"/>
                <w:lang w:val="en-US" w:eastAsia="zh-CN"/>
              </w:rPr>
              <w:t>2020</w:t>
            </w:r>
            <w:r>
              <w:rPr>
                <w:rFonts w:hint="eastAsia" w:ascii="Times New Roman" w:hAnsi="Times New Roman" w:eastAsia="宋体" w:cs="Times New Roman"/>
                <w:b w:val="0"/>
                <w:bCs/>
                <w:color w:val="000000"/>
                <w:sz w:val="24"/>
                <w:szCs w:val="24"/>
                <w:highlight w:val="none"/>
                <w:lang w:val="en-US" w:eastAsia="zh-CN"/>
              </w:rPr>
              <w:t>年降水量1930.1毫米，较历年偏多。</w:t>
            </w:r>
            <w:r>
              <w:rPr>
                <w:rFonts w:hint="eastAsia" w:cs="Times New Roman"/>
                <w:b w:val="0"/>
                <w:bCs/>
                <w:color w:val="000000"/>
                <w:sz w:val="24"/>
                <w:szCs w:val="24"/>
                <w:highlight w:val="none"/>
                <w:lang w:val="en-US" w:eastAsia="zh-CN"/>
              </w:rPr>
              <w:t>本环评按照年降雨量2000mm计算</w:t>
            </w:r>
            <w:r>
              <w:rPr>
                <w:rFonts w:hint="eastAsia" w:ascii="Times New Roman" w:hAnsi="Times New Roman" w:eastAsia="宋体" w:cs="Times New Roman"/>
                <w:b w:val="0"/>
                <w:bCs/>
                <w:color w:val="000000"/>
                <w:sz w:val="24"/>
                <w:szCs w:val="24"/>
                <w:highlight w:val="none"/>
                <w:vertAlign w:val="baseline"/>
                <w:lang w:val="en-US" w:eastAsia="zh-CN"/>
              </w:rPr>
              <w:t>，则矿区内年收集雨水量共计约</w:t>
            </w:r>
            <w:r>
              <w:rPr>
                <w:rFonts w:hint="eastAsia" w:cs="Times New Roman"/>
                <w:color w:val="000000"/>
                <w:kern w:val="0"/>
                <w:sz w:val="24"/>
                <w:szCs w:val="24"/>
                <w:highlight w:val="none"/>
                <w:lang w:val="en-US" w:eastAsia="zh-CN" w:bidi="ar"/>
              </w:rPr>
              <w:t>829656</w:t>
            </w:r>
            <w:r>
              <w:rPr>
                <w:rFonts w:hint="eastAsia" w:ascii="Times New Roman" w:hAnsi="Times New Roman" w:eastAsia="宋体" w:cs="Times New Roman"/>
                <w:b w:val="0"/>
                <w:bCs/>
                <w:color w:val="000000"/>
                <w:sz w:val="24"/>
                <w:szCs w:val="24"/>
                <w:highlight w:val="none"/>
                <w:lang w:val="en-US" w:eastAsia="zh-CN"/>
              </w:rPr>
              <w:t>m</w:t>
            </w:r>
            <w:r>
              <w:rPr>
                <w:rFonts w:hint="eastAsia" w:ascii="Times New Roman" w:hAnsi="Times New Roman" w:eastAsia="宋体" w:cs="Times New Roman"/>
                <w:b w:val="0"/>
                <w:bCs/>
                <w:color w:val="000000"/>
                <w:sz w:val="24"/>
                <w:szCs w:val="24"/>
                <w:highlight w:val="none"/>
                <w:vertAlign w:val="superscript"/>
                <w:lang w:val="en-US" w:eastAsia="zh-CN"/>
              </w:rPr>
              <w:t>3</w:t>
            </w:r>
            <w:r>
              <w:rPr>
                <w:rFonts w:hint="eastAsia" w:ascii="Times New Roman" w:hAnsi="Times New Roman" w:eastAsia="宋体" w:cs="Times New Roman"/>
                <w:b w:val="0"/>
                <w:bCs/>
                <w:color w:val="000000"/>
                <w:sz w:val="24"/>
                <w:szCs w:val="24"/>
                <w:highlight w:val="none"/>
                <w:vertAlign w:val="baseline"/>
                <w:lang w:val="en-US" w:eastAsia="zh-CN"/>
              </w:rPr>
              <w:t>，经处理后回用于生产。</w:t>
            </w:r>
          </w:p>
          <w:p w14:paraId="1A10F5AE">
            <w:pPr>
              <w:keepNext w:val="0"/>
              <w:keepLines w:val="0"/>
              <w:pageBreakBefore w:val="0"/>
              <w:widowControl w:val="0"/>
              <w:kinsoku/>
              <w:wordWrap/>
              <w:overflowPunct/>
              <w:topLinePunct w:val="0"/>
              <w:autoSpaceDE/>
              <w:autoSpaceDN/>
              <w:bidi w:val="0"/>
              <w:adjustRightInd/>
              <w:snapToGrid w:val="0"/>
              <w:spacing w:line="360" w:lineRule="auto"/>
              <w:ind w:right="0" w:firstLine="480" w:firstLineChars="200"/>
              <w:textAlignment w:val="auto"/>
              <w:rPr>
                <w:rFonts w:hint="default" w:ascii="Times New Roman" w:hAnsi="Times New Roman" w:eastAsia="宋体" w:cs="Times New Roman"/>
                <w:b w:val="0"/>
                <w:bCs/>
                <w:color w:val="000000"/>
                <w:sz w:val="24"/>
                <w:szCs w:val="24"/>
                <w:highlight w:val="none"/>
                <w:lang w:val="en-US" w:eastAsia="zh-CN"/>
              </w:rPr>
            </w:pPr>
            <w:r>
              <w:rPr>
                <w:rFonts w:hint="eastAsia" w:ascii="Times New Roman" w:hAnsi="Times New Roman" w:eastAsia="宋体" w:cs="Times New Roman"/>
                <w:b w:val="0"/>
                <w:bCs/>
                <w:color w:val="000000"/>
                <w:sz w:val="24"/>
                <w:szCs w:val="24"/>
                <w:highlight w:val="none"/>
                <w:lang w:val="en-US" w:eastAsia="zh-CN"/>
              </w:rPr>
              <w:t>根据现状调查，C8矿区现有兆兴矿山废水循环利用处理站（处理工艺沉淀+压榨，处理能力2500m</w:t>
            </w:r>
            <w:r>
              <w:rPr>
                <w:rFonts w:hint="eastAsia" w:ascii="Times New Roman" w:hAnsi="Times New Roman" w:eastAsia="宋体" w:cs="Times New Roman"/>
                <w:b w:val="0"/>
                <w:bCs/>
                <w:color w:val="000000"/>
                <w:sz w:val="24"/>
                <w:szCs w:val="24"/>
                <w:highlight w:val="none"/>
                <w:vertAlign w:val="superscript"/>
                <w:lang w:val="en-US" w:eastAsia="zh-CN"/>
              </w:rPr>
              <w:t>3</w:t>
            </w:r>
            <w:r>
              <w:rPr>
                <w:rFonts w:hint="eastAsia" w:ascii="Times New Roman" w:hAnsi="Times New Roman" w:eastAsia="宋体" w:cs="Times New Roman"/>
                <w:b w:val="0"/>
                <w:bCs/>
                <w:color w:val="000000"/>
                <w:sz w:val="24"/>
                <w:szCs w:val="24"/>
                <w:highlight w:val="none"/>
                <w:lang w:val="en-US" w:eastAsia="zh-CN"/>
              </w:rPr>
              <w:t>/d）、嘉丰大东矿山废水循环利用处理站（处理工艺沉淀+压榨，处理能力6000m</w:t>
            </w:r>
            <w:r>
              <w:rPr>
                <w:rFonts w:hint="eastAsia" w:ascii="Times New Roman" w:hAnsi="Times New Roman" w:eastAsia="宋体" w:cs="Times New Roman"/>
                <w:b w:val="0"/>
                <w:bCs/>
                <w:color w:val="000000"/>
                <w:sz w:val="24"/>
                <w:szCs w:val="24"/>
                <w:highlight w:val="none"/>
                <w:vertAlign w:val="superscript"/>
                <w:lang w:val="en-US" w:eastAsia="zh-CN"/>
              </w:rPr>
              <w:t>3</w:t>
            </w:r>
            <w:r>
              <w:rPr>
                <w:rFonts w:hint="eastAsia" w:ascii="Times New Roman" w:hAnsi="Times New Roman" w:eastAsia="宋体" w:cs="Times New Roman"/>
                <w:b w:val="0"/>
                <w:bCs/>
                <w:color w:val="000000"/>
                <w:sz w:val="24"/>
                <w:szCs w:val="24"/>
                <w:highlight w:val="none"/>
                <w:lang w:val="en-US" w:eastAsia="zh-CN"/>
              </w:rPr>
              <w:t>/d）、显套湾矿山废水循环利用处理站（处理工艺沉淀+压榨，处理能力2000m</w:t>
            </w:r>
            <w:r>
              <w:rPr>
                <w:rFonts w:hint="eastAsia" w:ascii="Times New Roman" w:hAnsi="Times New Roman" w:eastAsia="宋体" w:cs="Times New Roman"/>
                <w:b w:val="0"/>
                <w:bCs/>
                <w:color w:val="000000"/>
                <w:sz w:val="24"/>
                <w:szCs w:val="24"/>
                <w:highlight w:val="none"/>
                <w:vertAlign w:val="superscript"/>
                <w:lang w:val="en-US" w:eastAsia="zh-CN"/>
              </w:rPr>
              <w:t>3</w:t>
            </w:r>
            <w:r>
              <w:rPr>
                <w:rFonts w:hint="eastAsia" w:ascii="Times New Roman" w:hAnsi="Times New Roman" w:eastAsia="宋体" w:cs="Times New Roman"/>
                <w:b w:val="0"/>
                <w:bCs/>
                <w:color w:val="000000"/>
                <w:sz w:val="24"/>
                <w:szCs w:val="24"/>
                <w:highlight w:val="none"/>
                <w:lang w:val="en-US" w:eastAsia="zh-CN"/>
              </w:rPr>
              <w:t>/d）、元昌应急处理站（处理工艺沉淀+压榨，处理能力7500m</w:t>
            </w:r>
            <w:r>
              <w:rPr>
                <w:rFonts w:hint="eastAsia" w:ascii="Times New Roman" w:hAnsi="Times New Roman" w:eastAsia="宋体" w:cs="Times New Roman"/>
                <w:b w:val="0"/>
                <w:bCs/>
                <w:color w:val="000000"/>
                <w:sz w:val="24"/>
                <w:szCs w:val="24"/>
                <w:highlight w:val="none"/>
                <w:vertAlign w:val="superscript"/>
                <w:lang w:val="en-US" w:eastAsia="zh-CN"/>
              </w:rPr>
              <w:t>3</w:t>
            </w:r>
            <w:r>
              <w:rPr>
                <w:rFonts w:hint="eastAsia" w:ascii="Times New Roman" w:hAnsi="Times New Roman" w:eastAsia="宋体" w:cs="Times New Roman"/>
                <w:b w:val="0"/>
                <w:bCs/>
                <w:color w:val="000000"/>
                <w:sz w:val="24"/>
                <w:szCs w:val="24"/>
                <w:highlight w:val="none"/>
                <w:lang w:val="en-US" w:eastAsia="zh-CN"/>
              </w:rPr>
              <w:t>/d），合计处理能力为18000m</w:t>
            </w:r>
            <w:r>
              <w:rPr>
                <w:rFonts w:hint="eastAsia" w:ascii="Times New Roman" w:hAnsi="Times New Roman" w:eastAsia="宋体" w:cs="Times New Roman"/>
                <w:b w:val="0"/>
                <w:bCs/>
                <w:color w:val="000000"/>
                <w:sz w:val="24"/>
                <w:szCs w:val="24"/>
                <w:highlight w:val="none"/>
                <w:vertAlign w:val="superscript"/>
                <w:lang w:val="en-US" w:eastAsia="zh-CN"/>
              </w:rPr>
              <w:t>3</w:t>
            </w:r>
            <w:r>
              <w:rPr>
                <w:rFonts w:hint="eastAsia" w:ascii="Times New Roman" w:hAnsi="Times New Roman" w:eastAsia="宋体" w:cs="Times New Roman"/>
                <w:b w:val="0"/>
                <w:bCs/>
                <w:color w:val="000000"/>
                <w:sz w:val="24"/>
                <w:szCs w:val="24"/>
                <w:highlight w:val="none"/>
                <w:lang w:val="en-US" w:eastAsia="zh-CN"/>
              </w:rPr>
              <w:t>/d</w:t>
            </w:r>
            <w:r>
              <w:rPr>
                <w:rFonts w:hint="eastAsia" w:ascii="Times New Roman" w:hAnsi="Times New Roman" w:eastAsia="宋体" w:cs="Times New Roman"/>
                <w:b w:val="0"/>
                <w:bCs/>
                <w:color w:val="000000"/>
                <w:kern w:val="0"/>
                <w:sz w:val="24"/>
                <w:szCs w:val="24"/>
                <w:highlight w:val="none"/>
                <w:lang w:val="en-US" w:eastAsia="zh-CN" w:bidi="ar"/>
              </w:rPr>
              <w:t>。生产废水和初期雨水产生量为3005.52</w:t>
            </w:r>
            <w:r>
              <w:rPr>
                <w:rFonts w:hint="eastAsia" w:ascii="Times New Roman" w:hAnsi="Times New Roman" w:eastAsia="宋体" w:cs="Times New Roman"/>
                <w:b w:val="0"/>
                <w:bCs/>
                <w:color w:val="000000"/>
                <w:sz w:val="24"/>
                <w:szCs w:val="24"/>
                <w:highlight w:val="none"/>
                <w:lang w:val="en-US" w:eastAsia="zh-CN"/>
              </w:rPr>
              <w:t>m</w:t>
            </w:r>
            <w:r>
              <w:rPr>
                <w:rFonts w:hint="eastAsia" w:ascii="Times New Roman" w:hAnsi="Times New Roman" w:eastAsia="宋体" w:cs="Times New Roman"/>
                <w:b w:val="0"/>
                <w:bCs/>
                <w:color w:val="000000"/>
                <w:sz w:val="24"/>
                <w:szCs w:val="24"/>
                <w:highlight w:val="none"/>
                <w:vertAlign w:val="superscript"/>
                <w:lang w:val="en-US" w:eastAsia="zh-CN"/>
              </w:rPr>
              <w:t>3</w:t>
            </w:r>
            <w:r>
              <w:rPr>
                <w:rFonts w:hint="eastAsia" w:ascii="Times New Roman" w:hAnsi="Times New Roman" w:eastAsia="宋体" w:cs="Times New Roman"/>
                <w:b w:val="0"/>
                <w:bCs/>
                <w:color w:val="000000"/>
                <w:sz w:val="24"/>
                <w:szCs w:val="24"/>
                <w:highlight w:val="none"/>
                <w:lang w:val="en-US" w:eastAsia="zh-CN"/>
              </w:rPr>
              <w:t>/d，</w:t>
            </w:r>
            <w:r>
              <w:rPr>
                <w:rFonts w:hint="eastAsia" w:ascii="Times New Roman" w:hAnsi="Times New Roman" w:eastAsia="宋体" w:cs="Times New Roman"/>
                <w:b w:val="0"/>
                <w:bCs/>
                <w:color w:val="000000"/>
                <w:kern w:val="0"/>
                <w:sz w:val="24"/>
                <w:szCs w:val="24"/>
                <w:highlight w:val="none"/>
                <w:lang w:val="en-US" w:eastAsia="zh-CN" w:bidi="ar"/>
              </w:rPr>
              <w:t>现有废水处理设施完全能够满足项目处理需求。</w:t>
            </w:r>
          </w:p>
          <w:p w14:paraId="664D21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表</w:t>
            </w:r>
            <w:r>
              <w:rPr>
                <w:rFonts w:hint="eastAsia" w:cs="Times New Roman"/>
                <w:b/>
                <w:bCs/>
                <w:sz w:val="24"/>
                <w:szCs w:val="24"/>
                <w:highlight w:val="none"/>
                <w:lang w:val="en-US" w:eastAsia="zh-CN"/>
              </w:rPr>
              <w:t>4-10</w:t>
            </w:r>
            <w:r>
              <w:rPr>
                <w:rFonts w:hint="eastAsia"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rPr>
              <w:t xml:space="preserve"> 本项目年给排水情况一览表（m</w:t>
            </w:r>
            <w:r>
              <w:rPr>
                <w:rFonts w:hint="default" w:ascii="Times New Roman" w:hAnsi="Times New Roman" w:eastAsia="宋体" w:cs="Times New Roman"/>
                <w:b/>
                <w:bCs/>
                <w:sz w:val="24"/>
                <w:szCs w:val="24"/>
                <w:highlight w:val="none"/>
                <w:vertAlign w:val="superscript"/>
              </w:rPr>
              <w:t>3</w:t>
            </w:r>
            <w:r>
              <w:rPr>
                <w:rFonts w:hint="default" w:ascii="Times New Roman" w:hAnsi="Times New Roman" w:eastAsia="宋体" w:cs="Times New Roman"/>
                <w:b/>
                <w:bCs/>
                <w:sz w:val="24"/>
                <w:szCs w:val="24"/>
                <w:highlight w:val="none"/>
              </w:rPr>
              <w:t>/a）</w:t>
            </w:r>
          </w:p>
          <w:tbl>
            <w:tblPr>
              <w:tblStyle w:val="17"/>
              <w:tblW w:w="49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1160"/>
              <w:gridCol w:w="1242"/>
              <w:gridCol w:w="1065"/>
              <w:gridCol w:w="1052"/>
              <w:gridCol w:w="1054"/>
              <w:gridCol w:w="1125"/>
              <w:gridCol w:w="1010"/>
            </w:tblGrid>
            <w:tr w14:paraId="47A90E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20" w:type="pct"/>
                  <w:tcBorders>
                    <w:top w:val="single" w:color="auto" w:sz="12" w:space="0"/>
                    <w:bottom w:val="single" w:color="auto" w:sz="12" w:space="0"/>
                  </w:tcBorders>
                  <w:noWrap w:val="0"/>
                  <w:vAlign w:val="center"/>
                </w:tcPr>
                <w:p w14:paraId="140A982C">
                  <w:pPr>
                    <w:pStyle w:val="30"/>
                    <w:keepLines w:val="0"/>
                    <w:pageBreakBefore w:val="0"/>
                    <w:widowControl w:val="0"/>
                    <w:numPr>
                      <w:ilvl w:val="0"/>
                      <w:numId w:val="0"/>
                    </w:numPr>
                    <w:tabs>
                      <w:tab w:val="left" w:pos="709"/>
                    </w:tabs>
                    <w:kinsoku/>
                    <w:wordWrap/>
                    <w:overflowPunct/>
                    <w:topLinePunct w:val="0"/>
                    <w:bidi w:val="0"/>
                    <w:spacing w:before="0" w:beforeLines="0" w:line="240" w:lineRule="auto"/>
                    <w:ind w:leftChars="0"/>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用水部门</w:t>
                  </w:r>
                </w:p>
              </w:tc>
              <w:tc>
                <w:tcPr>
                  <w:tcW w:w="644" w:type="pct"/>
                  <w:tcBorders>
                    <w:top w:val="single" w:color="auto" w:sz="12" w:space="0"/>
                    <w:bottom w:val="single" w:color="auto" w:sz="12" w:space="0"/>
                  </w:tcBorders>
                  <w:noWrap w:val="0"/>
                  <w:vAlign w:val="center"/>
                </w:tcPr>
                <w:p w14:paraId="19DCD49A">
                  <w:pPr>
                    <w:pStyle w:val="30"/>
                    <w:keepLines w:val="0"/>
                    <w:pageBreakBefore w:val="0"/>
                    <w:widowControl w:val="0"/>
                    <w:numPr>
                      <w:ilvl w:val="0"/>
                      <w:numId w:val="0"/>
                    </w:numPr>
                    <w:tabs>
                      <w:tab w:val="left" w:pos="709"/>
                    </w:tabs>
                    <w:kinsoku/>
                    <w:wordWrap/>
                    <w:overflowPunct/>
                    <w:topLinePunct w:val="0"/>
                    <w:bidi w:val="0"/>
                    <w:spacing w:before="0" w:beforeLines="0" w:line="240" w:lineRule="auto"/>
                    <w:ind w:leftChars="0"/>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用水定额</w:t>
                  </w:r>
                </w:p>
              </w:tc>
              <w:tc>
                <w:tcPr>
                  <w:tcW w:w="689" w:type="pct"/>
                  <w:tcBorders>
                    <w:top w:val="single" w:color="auto" w:sz="12" w:space="0"/>
                    <w:bottom w:val="single" w:color="auto" w:sz="12" w:space="0"/>
                  </w:tcBorders>
                  <w:noWrap w:val="0"/>
                  <w:vAlign w:val="center"/>
                </w:tcPr>
                <w:p w14:paraId="0BA400A8">
                  <w:pPr>
                    <w:pStyle w:val="30"/>
                    <w:keepLines w:val="0"/>
                    <w:pageBreakBefore w:val="0"/>
                    <w:widowControl w:val="0"/>
                    <w:numPr>
                      <w:ilvl w:val="0"/>
                      <w:numId w:val="0"/>
                    </w:numPr>
                    <w:tabs>
                      <w:tab w:val="left" w:pos="709"/>
                    </w:tabs>
                    <w:kinsoku/>
                    <w:wordWrap/>
                    <w:overflowPunct/>
                    <w:topLinePunct w:val="0"/>
                    <w:bidi w:val="0"/>
                    <w:spacing w:before="0" w:beforeLines="0" w:line="240" w:lineRule="auto"/>
                    <w:ind w:leftChars="0"/>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规模</w:t>
                  </w:r>
                </w:p>
              </w:tc>
              <w:tc>
                <w:tcPr>
                  <w:tcW w:w="591" w:type="pct"/>
                  <w:tcBorders>
                    <w:top w:val="single" w:color="auto" w:sz="12" w:space="0"/>
                    <w:bottom w:val="single" w:color="auto" w:sz="12" w:space="0"/>
                  </w:tcBorders>
                  <w:noWrap w:val="0"/>
                  <w:vAlign w:val="center"/>
                </w:tcPr>
                <w:p w14:paraId="5470447E">
                  <w:pPr>
                    <w:pStyle w:val="30"/>
                    <w:keepLines w:val="0"/>
                    <w:pageBreakBefore w:val="0"/>
                    <w:widowControl w:val="0"/>
                    <w:numPr>
                      <w:ilvl w:val="0"/>
                      <w:numId w:val="0"/>
                    </w:numPr>
                    <w:tabs>
                      <w:tab w:val="left" w:pos="709"/>
                    </w:tabs>
                    <w:kinsoku/>
                    <w:wordWrap/>
                    <w:overflowPunct/>
                    <w:topLinePunct w:val="0"/>
                    <w:bidi w:val="0"/>
                    <w:spacing w:before="0" w:beforeLines="0" w:line="240" w:lineRule="auto"/>
                    <w:ind w:leftChars="0"/>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lang w:val="en-US" w:eastAsia="zh-CN"/>
                    </w:rPr>
                    <w:t>新鲜水</w:t>
                  </w:r>
                </w:p>
              </w:tc>
              <w:tc>
                <w:tcPr>
                  <w:tcW w:w="584" w:type="pct"/>
                  <w:tcBorders>
                    <w:top w:val="single" w:color="auto" w:sz="12" w:space="0"/>
                    <w:bottom w:val="single" w:color="auto" w:sz="12" w:space="0"/>
                  </w:tcBorders>
                  <w:noWrap w:val="0"/>
                  <w:vAlign w:val="center"/>
                </w:tcPr>
                <w:p w14:paraId="42657FCB">
                  <w:pPr>
                    <w:pStyle w:val="30"/>
                    <w:keepLines w:val="0"/>
                    <w:pageBreakBefore w:val="0"/>
                    <w:widowControl w:val="0"/>
                    <w:numPr>
                      <w:ilvl w:val="0"/>
                      <w:numId w:val="0"/>
                    </w:numPr>
                    <w:tabs>
                      <w:tab w:val="left" w:pos="709"/>
                    </w:tabs>
                    <w:kinsoku/>
                    <w:wordWrap/>
                    <w:overflowPunct/>
                    <w:topLinePunct w:val="0"/>
                    <w:bidi w:val="0"/>
                    <w:spacing w:before="0" w:beforeLines="0" w:line="240" w:lineRule="auto"/>
                    <w:ind w:leftChars="0"/>
                    <w:jc w:val="center"/>
                    <w:rPr>
                      <w:rFonts w:hint="default" w:ascii="Times New Roman" w:hAnsi="Times New Roman" w:eastAsia="宋体" w:cs="Times New Roman"/>
                      <w:b w:val="0"/>
                      <w:bCs/>
                      <w:color w:val="000000"/>
                      <w:sz w:val="18"/>
                      <w:szCs w:val="18"/>
                      <w:highlight w:val="none"/>
                      <w:lang w:val="en-US" w:eastAsia="zh-CN"/>
                    </w:rPr>
                  </w:pPr>
                  <w:r>
                    <w:rPr>
                      <w:rFonts w:hint="eastAsia" w:ascii="Times New Roman" w:hAnsi="Times New Roman" w:eastAsia="宋体" w:cs="Times New Roman"/>
                      <w:b w:val="0"/>
                      <w:bCs/>
                      <w:color w:val="000000"/>
                      <w:sz w:val="18"/>
                      <w:szCs w:val="18"/>
                      <w:highlight w:val="none"/>
                      <w:lang w:val="en-US" w:eastAsia="zh-CN"/>
                    </w:rPr>
                    <w:t>回用</w:t>
                  </w:r>
                  <w:r>
                    <w:rPr>
                      <w:rFonts w:hint="default" w:ascii="Times New Roman" w:hAnsi="Times New Roman" w:eastAsia="宋体" w:cs="Times New Roman"/>
                      <w:b w:val="0"/>
                      <w:bCs/>
                      <w:color w:val="000000"/>
                      <w:sz w:val="18"/>
                      <w:szCs w:val="18"/>
                      <w:highlight w:val="none"/>
                      <w:lang w:val="en-US" w:eastAsia="zh-CN"/>
                    </w:rPr>
                    <w:t>水</w:t>
                  </w:r>
                </w:p>
              </w:tc>
              <w:tc>
                <w:tcPr>
                  <w:tcW w:w="585" w:type="pct"/>
                  <w:tcBorders>
                    <w:top w:val="single" w:color="auto" w:sz="12" w:space="0"/>
                    <w:bottom w:val="single" w:color="auto" w:sz="12" w:space="0"/>
                  </w:tcBorders>
                  <w:noWrap w:val="0"/>
                  <w:vAlign w:val="center"/>
                </w:tcPr>
                <w:p w14:paraId="5AD622D9">
                  <w:pPr>
                    <w:pStyle w:val="30"/>
                    <w:keepLines w:val="0"/>
                    <w:pageBreakBefore w:val="0"/>
                    <w:widowControl w:val="0"/>
                    <w:numPr>
                      <w:ilvl w:val="0"/>
                      <w:numId w:val="0"/>
                    </w:numPr>
                    <w:tabs>
                      <w:tab w:val="left" w:pos="709"/>
                    </w:tabs>
                    <w:kinsoku/>
                    <w:wordWrap/>
                    <w:overflowPunct/>
                    <w:topLinePunct w:val="0"/>
                    <w:bidi w:val="0"/>
                    <w:spacing w:before="0" w:beforeLines="0" w:line="240" w:lineRule="auto"/>
                    <w:ind w:leftChars="0"/>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lang w:val="en-US" w:eastAsia="zh-CN"/>
                    </w:rPr>
                    <w:t>循环</w:t>
                  </w:r>
                  <w:r>
                    <w:rPr>
                      <w:rFonts w:hint="eastAsia" w:ascii="Times New Roman" w:hAnsi="Times New Roman" w:eastAsia="宋体" w:cs="Times New Roman"/>
                      <w:b w:val="0"/>
                      <w:bCs/>
                      <w:color w:val="000000"/>
                      <w:sz w:val="18"/>
                      <w:szCs w:val="18"/>
                      <w:highlight w:val="none"/>
                      <w:lang w:val="en-US" w:eastAsia="zh-CN"/>
                    </w:rPr>
                    <w:t>水</w:t>
                  </w:r>
                </w:p>
              </w:tc>
              <w:tc>
                <w:tcPr>
                  <w:tcW w:w="624" w:type="pct"/>
                  <w:tcBorders>
                    <w:top w:val="single" w:color="auto" w:sz="12" w:space="0"/>
                    <w:bottom w:val="single" w:color="auto" w:sz="12" w:space="0"/>
                  </w:tcBorders>
                  <w:noWrap w:val="0"/>
                  <w:vAlign w:val="center"/>
                </w:tcPr>
                <w:p w14:paraId="3E700311">
                  <w:pPr>
                    <w:pStyle w:val="30"/>
                    <w:keepLines w:val="0"/>
                    <w:pageBreakBefore w:val="0"/>
                    <w:widowControl w:val="0"/>
                    <w:numPr>
                      <w:ilvl w:val="0"/>
                      <w:numId w:val="0"/>
                    </w:numPr>
                    <w:tabs>
                      <w:tab w:val="left" w:pos="709"/>
                    </w:tabs>
                    <w:kinsoku/>
                    <w:wordWrap/>
                    <w:overflowPunct/>
                    <w:topLinePunct w:val="0"/>
                    <w:bidi w:val="0"/>
                    <w:spacing w:before="0" w:beforeLines="0" w:line="240" w:lineRule="auto"/>
                    <w:ind w:leftChars="0"/>
                    <w:jc w:val="center"/>
                    <w:rPr>
                      <w:rFonts w:hint="default" w:ascii="Times New Roman" w:hAnsi="Times New Roman" w:eastAsia="宋体" w:cs="Times New Roman"/>
                      <w:b w:val="0"/>
                      <w:bCs/>
                      <w:color w:val="000000"/>
                      <w:sz w:val="18"/>
                      <w:szCs w:val="18"/>
                      <w:highlight w:val="none"/>
                    </w:rPr>
                  </w:pPr>
                  <w:r>
                    <w:rPr>
                      <w:rFonts w:hint="default" w:ascii="Times New Roman" w:hAnsi="Times New Roman" w:eastAsia="宋体" w:cs="Times New Roman"/>
                      <w:b w:val="0"/>
                      <w:bCs/>
                      <w:color w:val="000000"/>
                      <w:sz w:val="18"/>
                      <w:szCs w:val="18"/>
                      <w:highlight w:val="none"/>
                    </w:rPr>
                    <w:t>损耗</w:t>
                  </w:r>
                </w:p>
              </w:tc>
              <w:tc>
                <w:tcPr>
                  <w:tcW w:w="560" w:type="pct"/>
                  <w:tcBorders>
                    <w:top w:val="single" w:color="auto" w:sz="12" w:space="0"/>
                    <w:bottom w:val="single" w:color="auto" w:sz="12" w:space="0"/>
                  </w:tcBorders>
                  <w:noWrap w:val="0"/>
                  <w:vAlign w:val="center"/>
                </w:tcPr>
                <w:p w14:paraId="05ABC63F">
                  <w:pPr>
                    <w:pStyle w:val="30"/>
                    <w:keepLines w:val="0"/>
                    <w:pageBreakBefore w:val="0"/>
                    <w:widowControl w:val="0"/>
                    <w:numPr>
                      <w:ilvl w:val="0"/>
                      <w:numId w:val="0"/>
                    </w:numPr>
                    <w:tabs>
                      <w:tab w:val="left" w:pos="709"/>
                    </w:tabs>
                    <w:kinsoku/>
                    <w:wordWrap/>
                    <w:overflowPunct/>
                    <w:topLinePunct w:val="0"/>
                    <w:bidi w:val="0"/>
                    <w:spacing w:before="0" w:beforeLines="0" w:line="240" w:lineRule="auto"/>
                    <w:ind w:leftChars="0"/>
                    <w:jc w:val="center"/>
                    <w:rPr>
                      <w:rFonts w:hint="default" w:ascii="Times New Roman" w:hAnsi="Times New Roman" w:eastAsia="宋体" w:cs="Times New Roman"/>
                      <w:b w:val="0"/>
                      <w:bCs/>
                      <w:color w:val="000000"/>
                      <w:sz w:val="18"/>
                      <w:szCs w:val="18"/>
                      <w:highlight w:val="none"/>
                      <w:lang w:val="en-US" w:eastAsia="zh-CN"/>
                    </w:rPr>
                  </w:pPr>
                  <w:r>
                    <w:rPr>
                      <w:rFonts w:hint="default" w:ascii="Times New Roman" w:hAnsi="Times New Roman" w:eastAsia="宋体" w:cs="Times New Roman"/>
                      <w:b w:val="0"/>
                      <w:bCs/>
                      <w:color w:val="000000"/>
                      <w:sz w:val="18"/>
                      <w:szCs w:val="18"/>
                      <w:highlight w:val="none"/>
                    </w:rPr>
                    <w:t>排水</w:t>
                  </w:r>
                </w:p>
              </w:tc>
            </w:tr>
            <w:tr w14:paraId="050E97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20" w:type="pct"/>
                  <w:tcBorders>
                    <w:top w:val="single" w:color="auto" w:sz="12" w:space="0"/>
                  </w:tcBorders>
                  <w:noWrap w:val="0"/>
                  <w:vAlign w:val="center"/>
                </w:tcPr>
                <w:p w14:paraId="616462CE">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食堂</w:t>
                  </w:r>
                  <w:r>
                    <w:rPr>
                      <w:rFonts w:hint="default" w:ascii="Times New Roman" w:hAnsi="Times New Roman" w:eastAsia="宋体" w:cs="Times New Roman"/>
                      <w:color w:val="000000"/>
                      <w:kern w:val="2"/>
                      <w:sz w:val="18"/>
                      <w:szCs w:val="18"/>
                      <w:highlight w:val="none"/>
                      <w:lang w:val="en-US" w:eastAsia="zh-CN" w:bidi="ar-SA"/>
                    </w:rPr>
                    <w:t>用水</w:t>
                  </w:r>
                </w:p>
              </w:tc>
              <w:tc>
                <w:tcPr>
                  <w:tcW w:w="644" w:type="pct"/>
                  <w:tcBorders>
                    <w:top w:val="single" w:color="auto" w:sz="12" w:space="0"/>
                  </w:tcBorders>
                  <w:noWrap w:val="0"/>
                  <w:vAlign w:val="center"/>
                </w:tcPr>
                <w:p w14:paraId="0C339EB7">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25</w:t>
                  </w:r>
                  <w:r>
                    <w:rPr>
                      <w:rFonts w:hint="default" w:ascii="Times New Roman" w:hAnsi="Times New Roman" w:eastAsia="宋体" w:cs="Times New Roman"/>
                      <w:color w:val="000000"/>
                      <w:kern w:val="2"/>
                      <w:sz w:val="18"/>
                      <w:szCs w:val="18"/>
                      <w:highlight w:val="none"/>
                      <w:lang w:val="en-US" w:eastAsia="zh-CN" w:bidi="ar-SA"/>
                    </w:rPr>
                    <w:t>L/人·日</w:t>
                  </w:r>
                </w:p>
              </w:tc>
              <w:tc>
                <w:tcPr>
                  <w:tcW w:w="689" w:type="pct"/>
                  <w:tcBorders>
                    <w:top w:val="single" w:color="auto" w:sz="12" w:space="0"/>
                  </w:tcBorders>
                  <w:noWrap w:val="0"/>
                  <w:vAlign w:val="center"/>
                </w:tcPr>
                <w:p w14:paraId="780D22E4">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60</w:t>
                  </w:r>
                  <w:r>
                    <w:rPr>
                      <w:rFonts w:hint="default" w:ascii="Times New Roman" w:hAnsi="Times New Roman" w:eastAsia="宋体" w:cs="Times New Roman"/>
                      <w:color w:val="000000"/>
                      <w:kern w:val="2"/>
                      <w:sz w:val="18"/>
                      <w:szCs w:val="18"/>
                      <w:highlight w:val="none"/>
                      <w:lang w:val="en-US" w:eastAsia="zh-CN" w:bidi="ar-SA"/>
                    </w:rPr>
                    <w:t>人</w:t>
                  </w:r>
                </w:p>
              </w:tc>
              <w:tc>
                <w:tcPr>
                  <w:tcW w:w="591" w:type="pct"/>
                  <w:tcBorders>
                    <w:top w:val="single" w:color="auto" w:sz="12" w:space="0"/>
                  </w:tcBorders>
                  <w:noWrap w:val="0"/>
                  <w:vAlign w:val="center"/>
                </w:tcPr>
                <w:p w14:paraId="28F78B94">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1350</w:t>
                  </w:r>
                </w:p>
              </w:tc>
              <w:tc>
                <w:tcPr>
                  <w:tcW w:w="584" w:type="pct"/>
                  <w:vMerge w:val="restart"/>
                  <w:tcBorders>
                    <w:top w:val="single" w:color="auto" w:sz="12" w:space="0"/>
                  </w:tcBorders>
                  <w:noWrap w:val="0"/>
                  <w:vAlign w:val="center"/>
                </w:tcPr>
                <w:p w14:paraId="3F9C4965">
                  <w:pPr>
                    <w:keepNext w:val="0"/>
                    <w:keepLines w:val="0"/>
                    <w:pageBreakBefore w:val="0"/>
                    <w:widowControl w:val="0"/>
                    <w:suppressLineNumbers w:val="0"/>
                    <w:wordWrap/>
                    <w:bidi w:val="0"/>
                    <w:jc w:val="center"/>
                    <w:textAlignment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833863.5</w:t>
                  </w:r>
                </w:p>
              </w:tc>
              <w:tc>
                <w:tcPr>
                  <w:tcW w:w="585" w:type="pct"/>
                  <w:tcBorders>
                    <w:top w:val="single" w:color="auto" w:sz="12" w:space="0"/>
                  </w:tcBorders>
                  <w:noWrap w:val="0"/>
                  <w:vAlign w:val="center"/>
                </w:tcPr>
                <w:p w14:paraId="197837C9">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w:t>
                  </w:r>
                </w:p>
              </w:tc>
              <w:tc>
                <w:tcPr>
                  <w:tcW w:w="624" w:type="pct"/>
                  <w:tcBorders>
                    <w:top w:val="single" w:color="auto" w:sz="12" w:space="0"/>
                  </w:tcBorders>
                  <w:noWrap w:val="0"/>
                  <w:vAlign w:val="center"/>
                </w:tcPr>
                <w:p w14:paraId="06C58B80">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202.5</w:t>
                  </w:r>
                </w:p>
              </w:tc>
              <w:tc>
                <w:tcPr>
                  <w:tcW w:w="560" w:type="pct"/>
                  <w:tcBorders>
                    <w:top w:val="single" w:color="auto" w:sz="12" w:space="0"/>
                  </w:tcBorders>
                  <w:noWrap w:val="0"/>
                  <w:vAlign w:val="center"/>
                </w:tcPr>
                <w:p w14:paraId="70B5864C">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w:t>
                  </w:r>
                </w:p>
              </w:tc>
            </w:tr>
            <w:tr w14:paraId="493DA1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20" w:type="pct"/>
                  <w:noWrap w:val="0"/>
                  <w:vAlign w:val="center"/>
                </w:tcPr>
                <w:p w14:paraId="6B1C0ABA">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办公生活用水</w:t>
                  </w:r>
                </w:p>
              </w:tc>
              <w:tc>
                <w:tcPr>
                  <w:tcW w:w="644" w:type="pct"/>
                  <w:tcBorders>
                    <w:top w:val="single" w:color="auto" w:sz="4" w:space="0"/>
                  </w:tcBorders>
                  <w:noWrap w:val="0"/>
                  <w:vAlign w:val="center"/>
                </w:tcPr>
                <w:p w14:paraId="7A062D35">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200L/人·日</w:t>
                  </w:r>
                </w:p>
              </w:tc>
              <w:tc>
                <w:tcPr>
                  <w:tcW w:w="689" w:type="pct"/>
                  <w:tcBorders>
                    <w:top w:val="single" w:color="auto" w:sz="4" w:space="0"/>
                  </w:tcBorders>
                  <w:noWrap w:val="0"/>
                  <w:vAlign w:val="center"/>
                </w:tcPr>
                <w:p w14:paraId="6BBABCAA">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60人</w:t>
                  </w:r>
                </w:p>
              </w:tc>
              <w:tc>
                <w:tcPr>
                  <w:tcW w:w="591" w:type="pct"/>
                  <w:tcBorders>
                    <w:top w:val="single" w:color="auto" w:sz="4" w:space="0"/>
                  </w:tcBorders>
                  <w:noWrap w:val="0"/>
                  <w:vAlign w:val="center"/>
                </w:tcPr>
                <w:p w14:paraId="344C0710">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3600</w:t>
                  </w:r>
                </w:p>
              </w:tc>
              <w:tc>
                <w:tcPr>
                  <w:tcW w:w="584" w:type="pct"/>
                  <w:vMerge w:val="continue"/>
                  <w:noWrap w:val="0"/>
                  <w:vAlign w:val="center"/>
                </w:tcPr>
                <w:p w14:paraId="73364B3C">
                  <w:pPr>
                    <w:pStyle w:val="41"/>
                    <w:keepLines w:val="0"/>
                    <w:pageBreakBefore w:val="0"/>
                    <w:widowControl w:val="0"/>
                    <w:kinsoku/>
                    <w:wordWrap/>
                    <w:overflowPunct/>
                    <w:topLinePunct w:val="0"/>
                    <w:bidi w:val="0"/>
                    <w:adjustRightInd/>
                    <w:spacing w:before="0" w:after="0" w:line="240" w:lineRule="auto"/>
                    <w:jc w:val="center"/>
                    <w:rPr>
                      <w:rFonts w:hint="eastAsia" w:ascii="Times New Roman" w:hAnsi="Times New Roman" w:eastAsia="宋体" w:cs="Times New Roman"/>
                      <w:color w:val="000000"/>
                      <w:kern w:val="2"/>
                      <w:sz w:val="18"/>
                      <w:szCs w:val="18"/>
                      <w:highlight w:val="none"/>
                      <w:lang w:val="en-US" w:eastAsia="zh-CN" w:bidi="ar-SA"/>
                    </w:rPr>
                  </w:pPr>
                </w:p>
              </w:tc>
              <w:tc>
                <w:tcPr>
                  <w:tcW w:w="585" w:type="pct"/>
                  <w:tcBorders>
                    <w:top w:val="single" w:color="auto" w:sz="4" w:space="0"/>
                  </w:tcBorders>
                  <w:noWrap w:val="0"/>
                  <w:vAlign w:val="center"/>
                </w:tcPr>
                <w:p w14:paraId="6154794A">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w:t>
                  </w:r>
                </w:p>
              </w:tc>
              <w:tc>
                <w:tcPr>
                  <w:tcW w:w="624" w:type="pct"/>
                  <w:tcBorders>
                    <w:top w:val="single" w:color="auto" w:sz="4" w:space="0"/>
                  </w:tcBorders>
                  <w:noWrap w:val="0"/>
                  <w:vAlign w:val="center"/>
                </w:tcPr>
                <w:p w14:paraId="7F8E23DE">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540</w:t>
                  </w:r>
                </w:p>
              </w:tc>
              <w:tc>
                <w:tcPr>
                  <w:tcW w:w="560" w:type="pct"/>
                  <w:tcBorders>
                    <w:top w:val="single" w:color="auto" w:sz="4" w:space="0"/>
                  </w:tcBorders>
                  <w:noWrap w:val="0"/>
                  <w:vAlign w:val="center"/>
                </w:tcPr>
                <w:p w14:paraId="28198CD1">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w:t>
                  </w:r>
                </w:p>
              </w:tc>
            </w:tr>
            <w:tr w14:paraId="695867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20" w:type="pct"/>
                  <w:noWrap w:val="0"/>
                  <w:vAlign w:val="center"/>
                </w:tcPr>
                <w:p w14:paraId="71B8B17F">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切割</w:t>
                  </w:r>
                  <w:r>
                    <w:rPr>
                      <w:rFonts w:hint="eastAsia" w:ascii="Times New Roman" w:hAnsi="Times New Roman" w:eastAsia="宋体" w:cs="Times New Roman"/>
                      <w:color w:val="000000"/>
                      <w:kern w:val="2"/>
                      <w:sz w:val="18"/>
                      <w:szCs w:val="18"/>
                      <w:highlight w:val="none"/>
                      <w:lang w:val="en-US" w:eastAsia="zh-CN" w:bidi="ar-SA"/>
                    </w:rPr>
                    <w:t>分离</w:t>
                  </w:r>
                  <w:r>
                    <w:rPr>
                      <w:rFonts w:hint="default" w:ascii="Times New Roman" w:hAnsi="Times New Roman" w:eastAsia="宋体" w:cs="Times New Roman"/>
                      <w:color w:val="000000"/>
                      <w:kern w:val="2"/>
                      <w:sz w:val="18"/>
                      <w:szCs w:val="18"/>
                      <w:highlight w:val="none"/>
                      <w:lang w:val="en-US" w:eastAsia="zh-CN" w:bidi="ar-SA"/>
                    </w:rPr>
                    <w:t>用水</w:t>
                  </w:r>
                </w:p>
              </w:tc>
              <w:tc>
                <w:tcPr>
                  <w:tcW w:w="644" w:type="pct"/>
                  <w:tcBorders>
                    <w:top w:val="single" w:color="auto" w:sz="4" w:space="0"/>
                  </w:tcBorders>
                  <w:noWrap w:val="0"/>
                  <w:vAlign w:val="center"/>
                </w:tcPr>
                <w:p w14:paraId="03176756">
                  <w:pPr>
                    <w:pStyle w:val="41"/>
                    <w:keepLines w:val="0"/>
                    <w:pageBreakBefore w:val="0"/>
                    <w:widowControl w:val="0"/>
                    <w:kinsoku/>
                    <w:wordWrap/>
                    <w:overflowPunct/>
                    <w:topLinePunct w:val="0"/>
                    <w:bidi w:val="0"/>
                    <w:adjustRightInd/>
                    <w:spacing w:before="0" w:after="0" w:line="240" w:lineRule="auto"/>
                    <w:jc w:val="center"/>
                    <w:rPr>
                      <w:rFonts w:hint="eastAsia"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2.5</w:t>
                  </w:r>
                  <w:r>
                    <w:rPr>
                      <w:rFonts w:hint="default" w:ascii="Times New Roman" w:hAnsi="Times New Roman" w:eastAsia="宋体" w:cs="Times New Roman"/>
                      <w:color w:val="000000"/>
                      <w:kern w:val="2"/>
                      <w:sz w:val="18"/>
                      <w:szCs w:val="18"/>
                      <w:highlight w:val="none"/>
                      <w:lang w:val="en-US" w:eastAsia="zh-CN" w:bidi="ar-SA"/>
                    </w:rPr>
                    <w:t>m</w:t>
                  </w:r>
                  <w:r>
                    <w:rPr>
                      <w:rFonts w:hint="default" w:ascii="Times New Roman" w:hAnsi="Times New Roman" w:eastAsia="宋体" w:cs="Times New Roman"/>
                      <w:color w:val="000000"/>
                      <w:kern w:val="2"/>
                      <w:sz w:val="18"/>
                      <w:szCs w:val="18"/>
                      <w:highlight w:val="none"/>
                      <w:vertAlign w:val="superscript"/>
                      <w:lang w:val="en-US" w:eastAsia="zh-CN" w:bidi="ar-SA"/>
                    </w:rPr>
                    <w:t>3</w:t>
                  </w:r>
                  <w:r>
                    <w:rPr>
                      <w:rFonts w:hint="default" w:ascii="Times New Roman" w:hAnsi="Times New Roman" w:eastAsia="宋体" w:cs="Times New Roman"/>
                      <w:color w:val="000000"/>
                      <w:kern w:val="2"/>
                      <w:sz w:val="18"/>
                      <w:szCs w:val="18"/>
                      <w:highlight w:val="none"/>
                      <w:lang w:val="en-US" w:eastAsia="zh-CN" w:bidi="ar-SA"/>
                    </w:rPr>
                    <w:t>/h</w:t>
                  </w:r>
                </w:p>
              </w:tc>
              <w:tc>
                <w:tcPr>
                  <w:tcW w:w="689" w:type="pct"/>
                  <w:tcBorders>
                    <w:top w:val="single" w:color="auto" w:sz="4" w:space="0"/>
                  </w:tcBorders>
                  <w:noWrap w:val="0"/>
                  <w:vAlign w:val="center"/>
                </w:tcPr>
                <w:p w14:paraId="690DB71F">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8台</w:t>
                  </w:r>
                </w:p>
              </w:tc>
              <w:tc>
                <w:tcPr>
                  <w:tcW w:w="591" w:type="pct"/>
                  <w:tcBorders>
                    <w:top w:val="single" w:color="auto" w:sz="4" w:space="0"/>
                  </w:tcBorders>
                  <w:noWrap w:val="0"/>
                  <w:vAlign w:val="center"/>
                </w:tcPr>
                <w:p w14:paraId="63F7AE39">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w:t>
                  </w:r>
                </w:p>
              </w:tc>
              <w:tc>
                <w:tcPr>
                  <w:tcW w:w="584" w:type="pct"/>
                  <w:vMerge w:val="continue"/>
                  <w:noWrap w:val="0"/>
                  <w:vAlign w:val="center"/>
                </w:tcPr>
                <w:p w14:paraId="15513630">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p>
              </w:tc>
              <w:tc>
                <w:tcPr>
                  <w:tcW w:w="585" w:type="pct"/>
                  <w:tcBorders>
                    <w:top w:val="single" w:color="auto" w:sz="4" w:space="0"/>
                  </w:tcBorders>
                  <w:noWrap w:val="0"/>
                  <w:vAlign w:val="center"/>
                </w:tcPr>
                <w:p w14:paraId="2F4FC5EF">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72000</w:t>
                  </w:r>
                </w:p>
              </w:tc>
              <w:tc>
                <w:tcPr>
                  <w:tcW w:w="624" w:type="pct"/>
                  <w:tcBorders>
                    <w:top w:val="single" w:color="auto" w:sz="4" w:space="0"/>
                  </w:tcBorders>
                  <w:noWrap w:val="0"/>
                  <w:vAlign w:val="center"/>
                </w:tcPr>
                <w:p w14:paraId="61E08BD7">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21600</w:t>
                  </w:r>
                </w:p>
              </w:tc>
              <w:tc>
                <w:tcPr>
                  <w:tcW w:w="560" w:type="pct"/>
                  <w:tcBorders>
                    <w:top w:val="single" w:color="auto" w:sz="4" w:space="0"/>
                  </w:tcBorders>
                  <w:noWrap w:val="0"/>
                  <w:vAlign w:val="center"/>
                </w:tcPr>
                <w:p w14:paraId="587084E0">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w:t>
                  </w:r>
                </w:p>
              </w:tc>
            </w:tr>
            <w:tr w14:paraId="1C65FC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0" w:type="pct"/>
                  <w:noWrap w:val="0"/>
                  <w:vAlign w:val="center"/>
                </w:tcPr>
                <w:p w14:paraId="51EA07C8">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bCs/>
                      <w:snapToGrid w:val="0"/>
                      <w:color w:val="000000"/>
                      <w:kern w:val="0"/>
                      <w:sz w:val="18"/>
                      <w:szCs w:val="18"/>
                      <w:highlight w:val="none"/>
                      <w:lang w:val="en-US" w:eastAsia="zh-CN" w:bidi="ar-SA"/>
                    </w:rPr>
                  </w:pPr>
                  <w:r>
                    <w:rPr>
                      <w:rFonts w:hint="default" w:ascii="Times New Roman" w:hAnsi="Times New Roman" w:eastAsia="宋体" w:cs="Times New Roman"/>
                      <w:bCs/>
                      <w:snapToGrid w:val="0"/>
                      <w:color w:val="000000"/>
                      <w:kern w:val="0"/>
                      <w:sz w:val="18"/>
                      <w:szCs w:val="18"/>
                      <w:highlight w:val="none"/>
                      <w:lang w:val="en-US" w:eastAsia="zh-CN" w:bidi="ar-SA"/>
                    </w:rPr>
                    <w:t>抑尘用水</w:t>
                  </w:r>
                </w:p>
              </w:tc>
              <w:tc>
                <w:tcPr>
                  <w:tcW w:w="644" w:type="pct"/>
                  <w:tcBorders>
                    <w:top w:val="single" w:color="auto" w:sz="4" w:space="0"/>
                  </w:tcBorders>
                  <w:noWrap w:val="0"/>
                  <w:vAlign w:val="center"/>
                </w:tcPr>
                <w:p w14:paraId="22BD7826">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0.</w:t>
                  </w:r>
                  <w:r>
                    <w:rPr>
                      <w:rFonts w:hint="eastAsia" w:ascii="Times New Roman" w:hAnsi="Times New Roman" w:eastAsia="宋体" w:cs="Times New Roman"/>
                      <w:color w:val="000000"/>
                      <w:kern w:val="2"/>
                      <w:sz w:val="18"/>
                      <w:szCs w:val="18"/>
                      <w:highlight w:val="none"/>
                      <w:lang w:val="en-US" w:eastAsia="zh-CN" w:bidi="ar-SA"/>
                    </w:rPr>
                    <w:t>14</w:t>
                  </w:r>
                  <w:r>
                    <w:rPr>
                      <w:rFonts w:hint="default" w:ascii="Times New Roman" w:hAnsi="Times New Roman" w:eastAsia="宋体" w:cs="Times New Roman"/>
                      <w:color w:val="000000"/>
                      <w:kern w:val="2"/>
                      <w:sz w:val="18"/>
                      <w:szCs w:val="18"/>
                      <w:highlight w:val="none"/>
                      <w:lang w:val="en-US" w:eastAsia="zh-CN" w:bidi="ar-SA"/>
                    </w:rPr>
                    <w:t>t</w:t>
                  </w:r>
                  <w:r>
                    <w:rPr>
                      <w:rFonts w:hint="eastAsia" w:ascii="Times New Roman" w:hAnsi="Times New Roman" w:eastAsia="宋体" w:cs="Times New Roman"/>
                      <w:color w:val="000000"/>
                      <w:kern w:val="2"/>
                      <w:sz w:val="18"/>
                      <w:szCs w:val="18"/>
                      <w:highlight w:val="none"/>
                      <w:lang w:val="en-US" w:eastAsia="zh-CN" w:bidi="ar-SA"/>
                    </w:rPr>
                    <w:t>/t-矿石</w:t>
                  </w:r>
                </w:p>
              </w:tc>
              <w:tc>
                <w:tcPr>
                  <w:tcW w:w="689" w:type="pct"/>
                  <w:tcBorders>
                    <w:top w:val="single" w:color="auto" w:sz="4" w:space="0"/>
                  </w:tcBorders>
                  <w:noWrap w:val="0"/>
                  <w:vAlign w:val="center"/>
                </w:tcPr>
                <w:p w14:paraId="627B6ED2">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548</w:t>
                  </w:r>
                  <w:r>
                    <w:rPr>
                      <w:rFonts w:hint="default" w:ascii="Times New Roman" w:hAnsi="Times New Roman" w:eastAsia="宋体" w:cs="Times New Roman"/>
                      <w:color w:val="000000"/>
                      <w:kern w:val="2"/>
                      <w:sz w:val="18"/>
                      <w:szCs w:val="18"/>
                      <w:highlight w:val="none"/>
                      <w:lang w:val="en-US" w:eastAsia="zh-CN" w:bidi="ar-SA"/>
                    </w:rPr>
                    <w:t>万t</w:t>
                  </w:r>
                </w:p>
              </w:tc>
              <w:tc>
                <w:tcPr>
                  <w:tcW w:w="591" w:type="pct"/>
                  <w:tcBorders>
                    <w:top w:val="single" w:color="auto" w:sz="4" w:space="0"/>
                  </w:tcBorders>
                  <w:noWrap w:val="0"/>
                  <w:vAlign w:val="center"/>
                </w:tcPr>
                <w:p w14:paraId="5A39CB73">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w:t>
                  </w:r>
                </w:p>
              </w:tc>
              <w:tc>
                <w:tcPr>
                  <w:tcW w:w="584" w:type="pct"/>
                  <w:vMerge w:val="continue"/>
                  <w:noWrap w:val="0"/>
                  <w:vAlign w:val="center"/>
                </w:tcPr>
                <w:p w14:paraId="6194C02A">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p>
              </w:tc>
              <w:tc>
                <w:tcPr>
                  <w:tcW w:w="585" w:type="pct"/>
                  <w:tcBorders>
                    <w:top w:val="single" w:color="auto" w:sz="4" w:space="0"/>
                  </w:tcBorders>
                  <w:noWrap w:val="0"/>
                  <w:vAlign w:val="center"/>
                </w:tcPr>
                <w:p w14:paraId="7980B99F">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w:t>
                  </w:r>
                </w:p>
              </w:tc>
              <w:tc>
                <w:tcPr>
                  <w:tcW w:w="624" w:type="pct"/>
                  <w:tcBorders>
                    <w:top w:val="single" w:color="auto" w:sz="4" w:space="0"/>
                  </w:tcBorders>
                  <w:noWrap w:val="0"/>
                  <w:vAlign w:val="center"/>
                </w:tcPr>
                <w:p w14:paraId="43BB1BBF">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822000</w:t>
                  </w:r>
                </w:p>
              </w:tc>
              <w:tc>
                <w:tcPr>
                  <w:tcW w:w="560" w:type="pct"/>
                  <w:noWrap w:val="0"/>
                  <w:vAlign w:val="center"/>
                </w:tcPr>
                <w:p w14:paraId="06805515">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w:t>
                  </w:r>
                </w:p>
              </w:tc>
            </w:tr>
            <w:tr w14:paraId="4D35BD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0" w:type="pct"/>
                  <w:noWrap w:val="0"/>
                  <w:vAlign w:val="center"/>
                </w:tcPr>
                <w:p w14:paraId="4B76F4F8">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bCs/>
                      <w:snapToGrid w:val="0"/>
                      <w:color w:val="000000"/>
                      <w:kern w:val="0"/>
                      <w:sz w:val="18"/>
                      <w:szCs w:val="18"/>
                      <w:highlight w:val="none"/>
                      <w:lang w:val="en-US" w:eastAsia="zh-CN" w:bidi="ar-SA"/>
                    </w:rPr>
                  </w:pPr>
                  <w:r>
                    <w:rPr>
                      <w:rFonts w:hint="eastAsia" w:ascii="Times New Roman" w:hAnsi="Times New Roman" w:eastAsia="宋体" w:cs="Times New Roman"/>
                      <w:bCs/>
                      <w:snapToGrid w:val="0"/>
                      <w:color w:val="000000"/>
                      <w:kern w:val="0"/>
                      <w:sz w:val="18"/>
                      <w:szCs w:val="18"/>
                      <w:highlight w:val="none"/>
                      <w:lang w:val="en-US" w:eastAsia="zh-CN" w:bidi="ar-SA"/>
                    </w:rPr>
                    <w:t>初期雨水</w:t>
                  </w:r>
                </w:p>
              </w:tc>
              <w:tc>
                <w:tcPr>
                  <w:tcW w:w="644" w:type="pct"/>
                  <w:tcBorders>
                    <w:top w:val="single" w:color="auto" w:sz="4" w:space="0"/>
                  </w:tcBorders>
                  <w:noWrap w:val="0"/>
                  <w:vAlign w:val="center"/>
                </w:tcPr>
                <w:p w14:paraId="3F063C7E">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w:t>
                  </w:r>
                </w:p>
              </w:tc>
              <w:tc>
                <w:tcPr>
                  <w:tcW w:w="689" w:type="pct"/>
                  <w:tcBorders>
                    <w:top w:val="single" w:color="auto" w:sz="4" w:space="0"/>
                  </w:tcBorders>
                  <w:noWrap w:val="0"/>
                  <w:vAlign w:val="center"/>
                </w:tcPr>
                <w:p w14:paraId="20A2B369">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829656m</w:t>
                  </w:r>
                  <w:r>
                    <w:rPr>
                      <w:rFonts w:hint="eastAsia" w:ascii="Times New Roman" w:hAnsi="Times New Roman" w:eastAsia="宋体" w:cs="Times New Roman"/>
                      <w:color w:val="000000"/>
                      <w:kern w:val="2"/>
                      <w:sz w:val="18"/>
                      <w:szCs w:val="18"/>
                      <w:highlight w:val="none"/>
                      <w:vertAlign w:val="superscript"/>
                      <w:lang w:val="en-US" w:eastAsia="zh-CN" w:bidi="ar-SA"/>
                    </w:rPr>
                    <w:t>3</w:t>
                  </w:r>
                  <w:r>
                    <w:rPr>
                      <w:rFonts w:hint="default" w:ascii="Times New Roman" w:hAnsi="Times New Roman" w:eastAsia="宋体" w:cs="Times New Roman"/>
                      <w:color w:val="000000"/>
                      <w:kern w:val="2"/>
                      <w:sz w:val="18"/>
                      <w:szCs w:val="18"/>
                      <w:highlight w:val="none"/>
                      <w:lang w:val="en-US" w:eastAsia="zh-CN" w:bidi="ar-SA"/>
                    </w:rPr>
                    <w:t>/</w:t>
                  </w:r>
                  <w:r>
                    <w:rPr>
                      <w:rFonts w:hint="eastAsia" w:ascii="Times New Roman" w:hAnsi="Times New Roman" w:eastAsia="宋体" w:cs="Times New Roman"/>
                      <w:color w:val="000000"/>
                      <w:kern w:val="2"/>
                      <w:sz w:val="18"/>
                      <w:szCs w:val="18"/>
                      <w:highlight w:val="none"/>
                      <w:lang w:val="en-US" w:eastAsia="zh-CN" w:bidi="ar-SA"/>
                    </w:rPr>
                    <w:t>a</w:t>
                  </w:r>
                </w:p>
              </w:tc>
              <w:tc>
                <w:tcPr>
                  <w:tcW w:w="591" w:type="pct"/>
                  <w:tcBorders>
                    <w:top w:val="single" w:color="auto" w:sz="4" w:space="0"/>
                  </w:tcBorders>
                  <w:noWrap w:val="0"/>
                  <w:vAlign w:val="center"/>
                </w:tcPr>
                <w:p w14:paraId="6788BC5A">
                  <w:pPr>
                    <w:pStyle w:val="41"/>
                    <w:keepLines w:val="0"/>
                    <w:pageBreakBefore w:val="0"/>
                    <w:widowControl w:val="0"/>
                    <w:kinsoku/>
                    <w:wordWrap/>
                    <w:overflowPunct/>
                    <w:topLinePunct w:val="0"/>
                    <w:bidi w:val="0"/>
                    <w:adjustRightInd/>
                    <w:spacing w:before="0" w:after="0" w:line="240" w:lineRule="auto"/>
                    <w:jc w:val="center"/>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w:t>
                  </w:r>
                </w:p>
              </w:tc>
              <w:tc>
                <w:tcPr>
                  <w:tcW w:w="584" w:type="pct"/>
                  <w:vMerge w:val="continue"/>
                  <w:noWrap w:val="0"/>
                  <w:vAlign w:val="center"/>
                </w:tcPr>
                <w:p w14:paraId="19DFA5FC">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p>
              </w:tc>
              <w:tc>
                <w:tcPr>
                  <w:tcW w:w="585" w:type="pct"/>
                  <w:tcBorders>
                    <w:top w:val="single" w:color="auto" w:sz="4" w:space="0"/>
                  </w:tcBorders>
                  <w:noWrap w:val="0"/>
                  <w:vAlign w:val="center"/>
                </w:tcPr>
                <w:p w14:paraId="422A2EC5">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w:t>
                  </w:r>
                </w:p>
              </w:tc>
              <w:tc>
                <w:tcPr>
                  <w:tcW w:w="624" w:type="pct"/>
                  <w:tcBorders>
                    <w:top w:val="single" w:color="auto" w:sz="4" w:space="0"/>
                  </w:tcBorders>
                  <w:noWrap w:val="0"/>
                  <w:vAlign w:val="center"/>
                </w:tcPr>
                <w:p w14:paraId="0A13095E">
                  <w:pPr>
                    <w:pStyle w:val="41"/>
                    <w:keepLines w:val="0"/>
                    <w:pageBreakBefore w:val="0"/>
                    <w:widowControl w:val="0"/>
                    <w:kinsoku/>
                    <w:wordWrap/>
                    <w:overflowPunct/>
                    <w:topLinePunct w:val="0"/>
                    <w:bidi w:val="0"/>
                    <w:adjustRightInd/>
                    <w:spacing w:before="0" w:after="0" w:line="240" w:lineRule="auto"/>
                    <w:jc w:val="center"/>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w:t>
                  </w:r>
                </w:p>
              </w:tc>
              <w:tc>
                <w:tcPr>
                  <w:tcW w:w="560" w:type="pct"/>
                  <w:noWrap w:val="0"/>
                  <w:vAlign w:val="center"/>
                </w:tcPr>
                <w:p w14:paraId="41D54625">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0</w:t>
                  </w:r>
                </w:p>
              </w:tc>
            </w:tr>
            <w:tr w14:paraId="0B1B07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20" w:type="pct"/>
                  <w:tcBorders>
                    <w:bottom w:val="single" w:color="auto" w:sz="12" w:space="0"/>
                  </w:tcBorders>
                  <w:noWrap w:val="0"/>
                  <w:vAlign w:val="center"/>
                </w:tcPr>
                <w:p w14:paraId="27139E7E">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合计</w:t>
                  </w:r>
                </w:p>
              </w:tc>
              <w:tc>
                <w:tcPr>
                  <w:tcW w:w="644" w:type="pct"/>
                  <w:tcBorders>
                    <w:bottom w:val="single" w:color="auto" w:sz="12" w:space="0"/>
                  </w:tcBorders>
                  <w:noWrap w:val="0"/>
                  <w:vAlign w:val="center"/>
                </w:tcPr>
                <w:p w14:paraId="0FA85119">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rPr>
                  </w:pPr>
                  <w:r>
                    <w:rPr>
                      <w:rFonts w:hint="default" w:ascii="Times New Roman" w:hAnsi="Times New Roman" w:eastAsia="宋体" w:cs="Times New Roman"/>
                      <w:color w:val="000000"/>
                      <w:kern w:val="2"/>
                      <w:sz w:val="18"/>
                      <w:szCs w:val="18"/>
                      <w:highlight w:val="none"/>
                      <w:lang w:val="en-US" w:eastAsia="zh-CN"/>
                    </w:rPr>
                    <w:t>/</w:t>
                  </w:r>
                </w:p>
              </w:tc>
              <w:tc>
                <w:tcPr>
                  <w:tcW w:w="689" w:type="pct"/>
                  <w:tcBorders>
                    <w:bottom w:val="single" w:color="auto" w:sz="12" w:space="0"/>
                  </w:tcBorders>
                  <w:noWrap w:val="0"/>
                  <w:vAlign w:val="center"/>
                </w:tcPr>
                <w:p w14:paraId="3A548AFE">
                  <w:pPr>
                    <w:pStyle w:val="41"/>
                    <w:keepLines w:val="0"/>
                    <w:pageBreakBefore w:val="0"/>
                    <w:widowControl w:val="0"/>
                    <w:kinsoku/>
                    <w:wordWrap/>
                    <w:overflowPunct/>
                    <w:topLinePunct w:val="0"/>
                    <w:bidi w:val="0"/>
                    <w:adjustRightInd/>
                    <w:spacing w:before="0" w:after="0" w:line="240" w:lineRule="auto"/>
                    <w:jc w:val="center"/>
                    <w:rPr>
                      <w:rFonts w:hint="default" w:ascii="Times New Roman" w:hAnsi="Times New Roman" w:eastAsia="宋体" w:cs="Times New Roman"/>
                      <w:color w:val="000000"/>
                      <w:kern w:val="2"/>
                      <w:sz w:val="18"/>
                      <w:szCs w:val="18"/>
                      <w:highlight w:val="none"/>
                      <w:lang w:val="en-US" w:eastAsia="zh-CN"/>
                    </w:rPr>
                  </w:pPr>
                  <w:r>
                    <w:rPr>
                      <w:rFonts w:hint="default" w:ascii="Times New Roman" w:hAnsi="Times New Roman" w:eastAsia="宋体" w:cs="Times New Roman"/>
                      <w:color w:val="000000"/>
                      <w:kern w:val="2"/>
                      <w:sz w:val="18"/>
                      <w:szCs w:val="18"/>
                      <w:highlight w:val="none"/>
                      <w:lang w:val="en-US" w:eastAsia="zh-CN"/>
                    </w:rPr>
                    <w:t>/</w:t>
                  </w:r>
                </w:p>
              </w:tc>
              <w:tc>
                <w:tcPr>
                  <w:tcW w:w="591" w:type="pct"/>
                  <w:tcBorders>
                    <w:bottom w:val="single" w:color="auto" w:sz="12" w:space="0"/>
                  </w:tcBorders>
                  <w:noWrap w:val="0"/>
                  <w:vAlign w:val="center"/>
                </w:tcPr>
                <w:p w14:paraId="26F20EA2">
                  <w:pPr>
                    <w:keepNext w:val="0"/>
                    <w:keepLines w:val="0"/>
                    <w:widowControl/>
                    <w:suppressLineNumbers w:val="0"/>
                    <w:jc w:val="center"/>
                    <w:textAlignment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4950</w:t>
                  </w:r>
                </w:p>
              </w:tc>
              <w:tc>
                <w:tcPr>
                  <w:tcW w:w="584" w:type="pct"/>
                  <w:tcBorders>
                    <w:bottom w:val="single" w:color="auto" w:sz="12" w:space="0"/>
                  </w:tcBorders>
                  <w:noWrap w:val="0"/>
                  <w:vAlign w:val="center"/>
                </w:tcPr>
                <w:p w14:paraId="456FF193">
                  <w:pPr>
                    <w:keepNext w:val="0"/>
                    <w:keepLines w:val="0"/>
                    <w:widowControl/>
                    <w:suppressLineNumbers w:val="0"/>
                    <w:jc w:val="center"/>
                    <w:textAlignment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833863.5</w:t>
                  </w:r>
                </w:p>
              </w:tc>
              <w:tc>
                <w:tcPr>
                  <w:tcW w:w="585" w:type="pct"/>
                  <w:tcBorders>
                    <w:bottom w:val="single" w:color="auto" w:sz="12" w:space="0"/>
                  </w:tcBorders>
                  <w:noWrap w:val="0"/>
                  <w:vAlign w:val="center"/>
                </w:tcPr>
                <w:p w14:paraId="6451AC4A">
                  <w:pPr>
                    <w:keepNext w:val="0"/>
                    <w:keepLines w:val="0"/>
                    <w:widowControl/>
                    <w:suppressLineNumbers w:val="0"/>
                    <w:jc w:val="center"/>
                    <w:textAlignment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72000</w:t>
                  </w:r>
                </w:p>
              </w:tc>
              <w:tc>
                <w:tcPr>
                  <w:tcW w:w="624" w:type="pct"/>
                  <w:tcBorders>
                    <w:bottom w:val="single" w:color="auto" w:sz="12" w:space="0"/>
                  </w:tcBorders>
                  <w:noWrap w:val="0"/>
                  <w:vAlign w:val="center"/>
                </w:tcPr>
                <w:p w14:paraId="6359661B">
                  <w:pPr>
                    <w:keepNext w:val="0"/>
                    <w:keepLines w:val="0"/>
                    <w:widowControl/>
                    <w:suppressLineNumbers w:val="0"/>
                    <w:jc w:val="center"/>
                    <w:textAlignment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844342.5</w:t>
                  </w:r>
                </w:p>
              </w:tc>
              <w:tc>
                <w:tcPr>
                  <w:tcW w:w="560" w:type="pct"/>
                  <w:tcBorders>
                    <w:bottom w:val="single" w:color="auto" w:sz="12" w:space="0"/>
                  </w:tcBorders>
                  <w:noWrap w:val="0"/>
                  <w:vAlign w:val="center"/>
                </w:tcPr>
                <w:p w14:paraId="63706AF7">
                  <w:pPr>
                    <w:keepNext w:val="0"/>
                    <w:keepLines w:val="0"/>
                    <w:widowControl/>
                    <w:suppressLineNumbers w:val="0"/>
                    <w:jc w:val="center"/>
                    <w:textAlignment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r>
          </w:tbl>
          <w:p w14:paraId="17B9C13A">
            <w:pPr>
              <w:keepNext w:val="0"/>
              <w:keepLines w:val="0"/>
              <w:pageBreakBefore w:val="0"/>
              <w:widowControl w:val="0"/>
              <w:kinsoku/>
              <w:wordWrap/>
              <w:overflowPunct/>
              <w:topLinePunct w:val="0"/>
              <w:autoSpaceDE/>
              <w:autoSpaceDN/>
              <w:bidi w:val="0"/>
              <w:adjustRightInd w:val="0"/>
              <w:snapToGrid w:val="0"/>
              <w:spacing w:before="157" w:beforeLines="50" w:after="156" w:afterLines="50"/>
              <w:jc w:val="center"/>
              <w:textAlignment w:val="auto"/>
              <w:rPr>
                <w:rFonts w:hint="default" w:ascii="Times New Roman" w:hAnsi="Times New Roman" w:eastAsia="宋体" w:cs="Times New Roman"/>
                <w:b/>
                <w:sz w:val="24"/>
                <w:szCs w:val="24"/>
                <w:highlight w:val="none"/>
              </w:rPr>
            </w:pPr>
            <w:r>
              <w:rPr>
                <w:rFonts w:hint="default" w:ascii="Times New Roman" w:hAnsi="Times New Roman" w:eastAsia="宋体" w:cs="Times New Roman"/>
                <w:b/>
                <w:color w:val="000000"/>
                <w:sz w:val="24"/>
                <w:szCs w:val="24"/>
                <w:highlight w:val="none"/>
              </w:rPr>
              <w:object>
                <v:shape id="_x0000_i1027" o:spt="75" type="#_x0000_t75" style="height:273.45pt;width:446.85pt;" o:ole="t" filled="f" o:preferrelative="t" stroked="f" coordsize="21600,21600">
                  <v:path/>
                  <v:fill on="f" focussize="0,0"/>
                  <v:stroke on="f"/>
                  <v:imagedata r:id="rId27" o:title=""/>
                  <o:lock v:ext="edit" aspectratio="f"/>
                  <w10:wrap type="none"/>
                  <w10:anchorlock/>
                </v:shape>
                <o:OLEObject Type="Embed" ProgID="Visio.Drawing.15" ShapeID="_x0000_i1027" DrawAspect="Content" ObjectID="_1468075727" r:id="rId26">
                  <o:LockedField>false</o:LockedField>
                </o:OLEObject>
              </w:object>
            </w:r>
          </w:p>
          <w:p w14:paraId="1B7B6347">
            <w:pPr>
              <w:keepNext w:val="0"/>
              <w:keepLines w:val="0"/>
              <w:pageBreakBefore w:val="0"/>
              <w:widowControl w:val="0"/>
              <w:kinsoku/>
              <w:wordWrap/>
              <w:overflowPunct/>
              <w:topLinePunct w:val="0"/>
              <w:autoSpaceDE/>
              <w:autoSpaceDN/>
              <w:bidi w:val="0"/>
              <w:adjustRightInd w:val="0"/>
              <w:snapToGrid w:val="0"/>
              <w:spacing w:before="157" w:beforeLines="50" w:after="156" w:afterLines="50"/>
              <w:jc w:val="center"/>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sz w:val="24"/>
                <w:szCs w:val="24"/>
                <w:highlight w:val="none"/>
              </w:rPr>
              <w:t>图</w:t>
            </w:r>
            <w:r>
              <w:rPr>
                <w:rFonts w:hint="eastAsia" w:cs="Times New Roman"/>
                <w:b/>
                <w:sz w:val="24"/>
                <w:szCs w:val="24"/>
                <w:highlight w:val="none"/>
                <w:lang w:val="en-US" w:eastAsia="zh-CN"/>
              </w:rPr>
              <w:t>4-4</w:t>
            </w:r>
            <w:r>
              <w:rPr>
                <w:rFonts w:hint="default" w:ascii="Times New Roman" w:hAnsi="Times New Roman" w:eastAsia="宋体" w:cs="Times New Roman"/>
                <w:b/>
                <w:sz w:val="24"/>
                <w:szCs w:val="24"/>
                <w:highlight w:val="none"/>
              </w:rPr>
              <w:t xml:space="preserve">  项目年水平衡图  单位：m</w:t>
            </w:r>
            <w:r>
              <w:rPr>
                <w:rFonts w:hint="default" w:ascii="Times New Roman" w:hAnsi="Times New Roman" w:eastAsia="宋体" w:cs="Times New Roman"/>
                <w:b/>
                <w:sz w:val="24"/>
                <w:szCs w:val="24"/>
                <w:highlight w:val="none"/>
                <w:vertAlign w:val="superscript"/>
              </w:rPr>
              <w:t>3</w:t>
            </w:r>
            <w:r>
              <w:rPr>
                <w:rFonts w:hint="default" w:ascii="Times New Roman" w:hAnsi="Times New Roman" w:eastAsia="宋体" w:cs="Times New Roman"/>
                <w:b/>
                <w:sz w:val="24"/>
                <w:szCs w:val="24"/>
                <w:highlight w:val="none"/>
              </w:rPr>
              <w:t>/a</w:t>
            </w:r>
          </w:p>
          <w:p w14:paraId="6574A16A">
            <w:pPr>
              <w:keepNext w:val="0"/>
              <w:keepLines w:val="0"/>
              <w:pageBreakBefore w:val="0"/>
              <w:widowControl w:val="0"/>
              <w:suppressLineNumbers w:val="0"/>
              <w:kinsoku/>
              <w:wordWrap/>
              <w:overflowPunct/>
              <w:topLinePunct w:val="0"/>
              <w:bidi w:val="0"/>
              <w:adjustRightInd/>
              <w:snapToGrid w:val="0"/>
              <w:spacing w:line="360" w:lineRule="auto"/>
              <w:ind w:firstLine="482" w:firstLineChars="200"/>
              <w:jc w:val="left"/>
              <w:textAlignment w:val="auto"/>
              <w:rPr>
                <w:sz w:val="24"/>
                <w:szCs w:val="24"/>
              </w:rPr>
            </w:pPr>
            <w:r>
              <w:rPr>
                <w:rFonts w:hint="eastAsia" w:ascii="Times New Roman" w:hAnsi="Times New Roman" w:eastAsia="宋体" w:cs="Times New Roman"/>
                <w:b/>
                <w:bCs/>
                <w:sz w:val="24"/>
                <w:szCs w:val="24"/>
                <w:highlight w:val="none"/>
                <w:lang w:val="en-US" w:eastAsia="zh-CN"/>
              </w:rPr>
              <w:t>（</w:t>
            </w:r>
            <w:r>
              <w:rPr>
                <w:rFonts w:hint="eastAsia" w:cs="Times New Roman"/>
                <w:b/>
                <w:bCs/>
                <w:sz w:val="24"/>
                <w:szCs w:val="24"/>
                <w:highlight w:val="none"/>
                <w:lang w:val="en-US" w:eastAsia="zh-CN"/>
              </w:rPr>
              <w:t>6</w:t>
            </w:r>
            <w:r>
              <w:rPr>
                <w:rFonts w:hint="eastAsia" w:ascii="Times New Roman" w:hAnsi="Times New Roman" w:eastAsia="宋体" w:cs="Times New Roman"/>
                <w:b/>
                <w:bCs/>
                <w:sz w:val="24"/>
                <w:szCs w:val="24"/>
                <w:highlight w:val="none"/>
                <w:lang w:val="en-US" w:eastAsia="zh-CN"/>
              </w:rPr>
              <w:t>）</w:t>
            </w:r>
            <w:r>
              <w:rPr>
                <w:rFonts w:hint="eastAsia" w:ascii="宋体" w:hAnsi="宋体" w:eastAsia="宋体" w:cs="宋体"/>
                <w:b/>
                <w:bCs/>
                <w:color w:val="000000"/>
                <w:kern w:val="0"/>
                <w:sz w:val="24"/>
                <w:szCs w:val="24"/>
                <w:highlight w:val="none"/>
                <w:lang w:val="en-US" w:eastAsia="zh-CN" w:bidi="ar"/>
              </w:rPr>
              <w:t>排土场设</w:t>
            </w:r>
            <w:r>
              <w:rPr>
                <w:rFonts w:hint="eastAsia" w:ascii="宋体" w:hAnsi="宋体" w:eastAsia="宋体" w:cs="宋体"/>
                <w:b/>
                <w:bCs/>
                <w:color w:val="000000"/>
                <w:kern w:val="0"/>
                <w:sz w:val="24"/>
                <w:szCs w:val="24"/>
                <w:lang w:val="en-US" w:eastAsia="zh-CN" w:bidi="ar"/>
              </w:rPr>
              <w:t>置</w:t>
            </w:r>
          </w:p>
          <w:p w14:paraId="2FDC17D4">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contextualSpacing/>
              <w:jc w:val="left"/>
              <w:textAlignment w:val="auto"/>
              <w:rPr>
                <w:rFonts w:hint="eastAsia"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本项目本身不设置排土场，白鸭山矿区剥离的风化层、开采过程中产生的废石等，可以作为普通建筑石料矿产加工为砂石骨料予以综合利用。依据绿色矿山建设要求，矿山所开采出来的除荒料以外的所有岩土体均要求进行综合利用，《勘探报告》中风化层（含中风化）、节理密集带和断层带、接触带、脉体等分别估算了资源量，估算白鸭山矿区年均需处理废料约</w:t>
            </w:r>
            <w:r>
              <w:rPr>
                <w:rFonts w:hint="default" w:ascii="Times New Roman" w:hAnsi="Times New Roman" w:eastAsia="宋体" w:cs="Times New Roman"/>
                <w:b w:val="0"/>
                <w:bCs w:val="0"/>
                <w:sz w:val="24"/>
                <w:szCs w:val="24"/>
                <w:highlight w:val="none"/>
                <w:lang w:val="en-US" w:eastAsia="zh-CN"/>
              </w:rPr>
              <w:t>4048</w:t>
            </w:r>
            <w:r>
              <w:rPr>
                <w:rFonts w:hint="eastAsia" w:ascii="Times New Roman" w:hAnsi="Times New Roman" w:eastAsia="宋体" w:cs="Times New Roman"/>
                <w:b w:val="0"/>
                <w:bCs w:val="0"/>
                <w:sz w:val="24"/>
                <w:szCs w:val="24"/>
                <w:highlight w:val="none"/>
                <w:lang w:val="en-US" w:eastAsia="zh-CN"/>
              </w:rPr>
              <w:t>万吨</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年，剥离量</w:t>
            </w:r>
            <w:r>
              <w:rPr>
                <w:rFonts w:hint="default" w:ascii="Times New Roman" w:hAnsi="Times New Roman" w:eastAsia="宋体" w:cs="Times New Roman"/>
                <w:b w:val="0"/>
                <w:bCs w:val="0"/>
                <w:sz w:val="24"/>
                <w:szCs w:val="24"/>
                <w:highlight w:val="none"/>
                <w:lang w:val="en-US" w:eastAsia="zh-CN"/>
              </w:rPr>
              <w:t>2807</w:t>
            </w:r>
            <w:r>
              <w:rPr>
                <w:rFonts w:hint="eastAsia" w:ascii="Times New Roman" w:hAnsi="Times New Roman" w:eastAsia="宋体" w:cs="Times New Roman"/>
                <w:b w:val="0"/>
                <w:bCs w:val="0"/>
                <w:sz w:val="24"/>
                <w:szCs w:val="24"/>
                <w:highlight w:val="none"/>
                <w:lang w:val="en-US" w:eastAsia="zh-CN"/>
              </w:rPr>
              <w:t>万吨</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年。目前实际矿山企业生产尾矿角材及剥离风化层直接倒至采场外沿指定地点，由山下碎石加工企业负责运输至建筑石料加工工业场地，综合利用生产建筑石料、建筑用砂及复绿用土。</w:t>
            </w:r>
          </w:p>
          <w:p w14:paraId="303F2F9E">
            <w:pPr>
              <w:keepNext w:val="0"/>
              <w:keepLines w:val="0"/>
              <w:widowControl/>
              <w:suppressLineNumbers w:val="0"/>
              <w:spacing w:beforeLines="50" w:line="240" w:lineRule="auto"/>
              <w:jc w:val="center"/>
              <w:rPr>
                <w:rFonts w:hint="default" w:ascii="Times New Roman" w:hAnsi="Times New Roman" w:cs="Times New Roman"/>
                <w:sz w:val="24"/>
                <w:szCs w:val="24"/>
                <w:highlight w:val="none"/>
              </w:rPr>
            </w:pPr>
            <w:r>
              <w:rPr>
                <w:rFonts w:hint="default" w:ascii="Times New Roman" w:hAnsi="Times New Roman" w:eastAsia="宋体" w:cs="Times New Roman"/>
                <w:b/>
                <w:bCs/>
                <w:color w:val="000000"/>
                <w:kern w:val="0"/>
                <w:sz w:val="24"/>
                <w:szCs w:val="24"/>
                <w:highlight w:val="none"/>
                <w:lang w:val="en-US" w:eastAsia="zh-CN" w:bidi="ar"/>
              </w:rPr>
              <w:t>表</w:t>
            </w:r>
            <w:r>
              <w:rPr>
                <w:rFonts w:hint="eastAsia" w:cs="Times New Roman"/>
                <w:b/>
                <w:bCs/>
                <w:color w:val="000000"/>
                <w:kern w:val="0"/>
                <w:sz w:val="24"/>
                <w:szCs w:val="24"/>
                <w:highlight w:val="none"/>
                <w:lang w:val="en-US" w:eastAsia="zh-CN" w:bidi="ar"/>
              </w:rPr>
              <w:t>4-10</w:t>
            </w:r>
            <w:r>
              <w:rPr>
                <w:rFonts w:hint="default" w:ascii="Times New Roman" w:hAnsi="Times New Roman" w:eastAsia="宋体" w:cs="Times New Roman"/>
                <w:b/>
                <w:bCs/>
                <w:color w:val="000000"/>
                <w:kern w:val="0"/>
                <w:sz w:val="24"/>
                <w:szCs w:val="24"/>
                <w:highlight w:val="none"/>
                <w:lang w:val="en-US" w:eastAsia="zh-CN" w:bidi="ar"/>
              </w:rPr>
              <w:t xml:space="preserve">  白鸭山矿区废石及剥离量统计表</w:t>
            </w:r>
          </w:p>
          <w:tbl>
            <w:tblPr>
              <w:tblStyle w:val="39"/>
              <w:tblW w:w="4900"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216"/>
              <w:gridCol w:w="2116"/>
              <w:gridCol w:w="2038"/>
              <w:gridCol w:w="3635"/>
            </w:tblGrid>
            <w:tr w14:paraId="638D0C84">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5" w:type="pct"/>
                  <w:tcBorders>
                    <w:top w:val="single" w:color="000000" w:sz="12" w:space="0"/>
                    <w:bottom w:val="single" w:color="000000" w:sz="12" w:space="0"/>
                  </w:tcBorders>
                  <w:noWrap w:val="0"/>
                  <w:vAlign w:val="center"/>
                </w:tcPr>
                <w:p w14:paraId="27F0B29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宋体" w:hAnsi="宋体" w:eastAsia="宋体" w:cs="宋体"/>
                      <w:color w:val="000000"/>
                      <w:sz w:val="18"/>
                      <w:szCs w:val="18"/>
                      <w:highlight w:val="none"/>
                    </w:rPr>
                  </w:pPr>
                  <w:r>
                    <w:rPr>
                      <w:rFonts w:ascii="宋体" w:hAnsi="宋体" w:eastAsia="宋体" w:cs="宋体"/>
                      <w:color w:val="000000"/>
                      <w:spacing w:val="-6"/>
                      <w:sz w:val="18"/>
                      <w:szCs w:val="18"/>
                      <w:highlight w:val="none"/>
                    </w:rPr>
                    <w:t>区</w:t>
                  </w:r>
                  <w:r>
                    <w:rPr>
                      <w:rFonts w:ascii="宋体" w:hAnsi="宋体" w:eastAsia="宋体" w:cs="宋体"/>
                      <w:color w:val="000000"/>
                      <w:spacing w:val="-5"/>
                      <w:sz w:val="18"/>
                      <w:szCs w:val="18"/>
                      <w:highlight w:val="none"/>
                    </w:rPr>
                    <w:t>块</w:t>
                  </w:r>
                </w:p>
              </w:tc>
              <w:tc>
                <w:tcPr>
                  <w:tcW w:w="1174" w:type="pct"/>
                  <w:tcBorders>
                    <w:top w:val="single" w:color="000000" w:sz="12" w:space="0"/>
                    <w:bottom w:val="single" w:color="000000" w:sz="12" w:space="0"/>
                  </w:tcBorders>
                  <w:noWrap w:val="0"/>
                  <w:vAlign w:val="center"/>
                </w:tcPr>
                <w:p w14:paraId="3C48880C">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宋体" w:hAnsi="宋体" w:eastAsia="宋体" w:cs="宋体"/>
                      <w:color w:val="000000"/>
                      <w:sz w:val="18"/>
                      <w:szCs w:val="18"/>
                      <w:highlight w:val="none"/>
                    </w:rPr>
                  </w:pPr>
                  <w:r>
                    <w:rPr>
                      <w:rFonts w:ascii="宋体" w:hAnsi="宋体" w:eastAsia="宋体" w:cs="宋体"/>
                      <w:color w:val="000000"/>
                      <w:spacing w:val="17"/>
                      <w:sz w:val="18"/>
                      <w:szCs w:val="18"/>
                      <w:highlight w:val="none"/>
                    </w:rPr>
                    <w:t>废</w:t>
                  </w:r>
                  <w:r>
                    <w:rPr>
                      <w:rFonts w:ascii="宋体" w:hAnsi="宋体" w:eastAsia="宋体" w:cs="宋体"/>
                      <w:color w:val="000000"/>
                      <w:spacing w:val="11"/>
                      <w:sz w:val="18"/>
                      <w:szCs w:val="18"/>
                      <w:highlight w:val="none"/>
                    </w:rPr>
                    <w:t>料(万吨</w:t>
                  </w:r>
                  <w:r>
                    <w:rPr>
                      <w:rFonts w:ascii="Times New Roman" w:hAnsi="Times New Roman" w:eastAsia="Times New Roman" w:cs="Times New Roman"/>
                      <w:b/>
                      <w:bCs/>
                      <w:color w:val="000000"/>
                      <w:spacing w:val="11"/>
                      <w:sz w:val="18"/>
                      <w:szCs w:val="18"/>
                      <w:highlight w:val="none"/>
                    </w:rPr>
                    <w:t>/</w:t>
                  </w:r>
                  <w:r>
                    <w:rPr>
                      <w:rFonts w:ascii="宋体" w:hAnsi="宋体" w:eastAsia="宋体" w:cs="宋体"/>
                      <w:color w:val="000000"/>
                      <w:spacing w:val="11"/>
                      <w:sz w:val="18"/>
                      <w:szCs w:val="18"/>
                      <w:highlight w:val="none"/>
                    </w:rPr>
                    <w:t>年)</w:t>
                  </w:r>
                </w:p>
              </w:tc>
              <w:tc>
                <w:tcPr>
                  <w:tcW w:w="1131" w:type="pct"/>
                  <w:tcBorders>
                    <w:top w:val="single" w:color="000000" w:sz="12" w:space="0"/>
                    <w:bottom w:val="single" w:color="000000" w:sz="12" w:space="0"/>
                  </w:tcBorders>
                  <w:noWrap w:val="0"/>
                  <w:vAlign w:val="center"/>
                </w:tcPr>
                <w:p w14:paraId="0BFB52F3">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宋体" w:hAnsi="宋体" w:eastAsia="宋体" w:cs="宋体"/>
                      <w:color w:val="000000"/>
                      <w:sz w:val="18"/>
                      <w:szCs w:val="18"/>
                      <w:highlight w:val="none"/>
                    </w:rPr>
                  </w:pPr>
                  <w:r>
                    <w:rPr>
                      <w:rFonts w:ascii="宋体" w:hAnsi="宋体" w:eastAsia="宋体" w:cs="宋体"/>
                      <w:color w:val="000000"/>
                      <w:spacing w:val="11"/>
                      <w:sz w:val="18"/>
                      <w:szCs w:val="18"/>
                      <w:highlight w:val="none"/>
                    </w:rPr>
                    <w:t>剥</w:t>
                  </w:r>
                  <w:r>
                    <w:rPr>
                      <w:rFonts w:ascii="宋体" w:hAnsi="宋体" w:eastAsia="宋体" w:cs="宋体"/>
                      <w:color w:val="000000"/>
                      <w:spacing w:val="10"/>
                      <w:sz w:val="18"/>
                      <w:szCs w:val="18"/>
                      <w:highlight w:val="none"/>
                    </w:rPr>
                    <w:t>离量(万吨</w:t>
                  </w:r>
                  <w:r>
                    <w:rPr>
                      <w:rFonts w:ascii="Times New Roman" w:hAnsi="Times New Roman" w:eastAsia="Times New Roman" w:cs="Times New Roman"/>
                      <w:b/>
                      <w:bCs/>
                      <w:color w:val="000000"/>
                      <w:spacing w:val="10"/>
                      <w:sz w:val="18"/>
                      <w:szCs w:val="18"/>
                      <w:highlight w:val="none"/>
                    </w:rPr>
                    <w:t>/</w:t>
                  </w:r>
                  <w:r>
                    <w:rPr>
                      <w:rFonts w:ascii="宋体" w:hAnsi="宋体" w:eastAsia="宋体" w:cs="宋体"/>
                      <w:color w:val="000000"/>
                      <w:spacing w:val="10"/>
                      <w:sz w:val="18"/>
                      <w:szCs w:val="18"/>
                      <w:highlight w:val="none"/>
                    </w:rPr>
                    <w:t>年)</w:t>
                  </w:r>
                </w:p>
              </w:tc>
              <w:tc>
                <w:tcPr>
                  <w:tcW w:w="2017" w:type="pct"/>
                  <w:tcBorders>
                    <w:top w:val="single" w:color="000000" w:sz="12" w:space="0"/>
                    <w:bottom w:val="single" w:color="000000" w:sz="12" w:space="0"/>
                  </w:tcBorders>
                  <w:noWrap w:val="0"/>
                  <w:vAlign w:val="center"/>
                </w:tcPr>
                <w:p w14:paraId="4354D236">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宋体" w:hAnsi="宋体" w:eastAsia="宋体" w:cs="宋体"/>
                      <w:color w:val="000000"/>
                      <w:sz w:val="18"/>
                      <w:szCs w:val="18"/>
                      <w:highlight w:val="none"/>
                    </w:rPr>
                  </w:pPr>
                  <w:r>
                    <w:rPr>
                      <w:rFonts w:ascii="宋体" w:hAnsi="宋体" w:eastAsia="宋体" w:cs="宋体"/>
                      <w:color w:val="000000"/>
                      <w:spacing w:val="-1"/>
                      <w:sz w:val="18"/>
                      <w:szCs w:val="18"/>
                      <w:highlight w:val="none"/>
                    </w:rPr>
                    <w:t>去向及处理</w:t>
                  </w:r>
                  <w:r>
                    <w:rPr>
                      <w:rFonts w:ascii="宋体" w:hAnsi="宋体" w:eastAsia="宋体" w:cs="宋体"/>
                      <w:color w:val="000000"/>
                      <w:sz w:val="18"/>
                      <w:szCs w:val="18"/>
                      <w:highlight w:val="none"/>
                    </w:rPr>
                    <w:t>能力</w:t>
                  </w:r>
                </w:p>
              </w:tc>
            </w:tr>
            <w:tr w14:paraId="348F4F3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5" w:type="pct"/>
                  <w:tcBorders>
                    <w:top w:val="single" w:color="000000" w:sz="12" w:space="0"/>
                    <w:bottom w:val="single" w:color="000000" w:sz="4" w:space="0"/>
                    <w:right w:val="single" w:color="000000" w:sz="4" w:space="0"/>
                  </w:tcBorders>
                  <w:noWrap w:val="0"/>
                  <w:vAlign w:val="center"/>
                </w:tcPr>
                <w:p w14:paraId="53F6A0A7">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2"/>
                      <w:sz w:val="18"/>
                      <w:szCs w:val="18"/>
                      <w:highlight w:val="none"/>
                    </w:rPr>
                    <w:t>C1</w:t>
                  </w:r>
                </w:p>
              </w:tc>
              <w:tc>
                <w:tcPr>
                  <w:tcW w:w="1174" w:type="pct"/>
                  <w:tcBorders>
                    <w:top w:val="single" w:color="000000" w:sz="12" w:space="0"/>
                    <w:left w:val="single" w:color="000000" w:sz="4" w:space="0"/>
                    <w:bottom w:val="single" w:color="000000" w:sz="4" w:space="0"/>
                    <w:right w:val="single" w:color="000000" w:sz="4" w:space="0"/>
                  </w:tcBorders>
                  <w:noWrap w:val="0"/>
                  <w:vAlign w:val="center"/>
                </w:tcPr>
                <w:p w14:paraId="6679560C">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1"/>
                      <w:sz w:val="18"/>
                      <w:szCs w:val="18"/>
                      <w:highlight w:val="none"/>
                    </w:rPr>
                    <w:t>27</w:t>
                  </w:r>
                  <w:r>
                    <w:rPr>
                      <w:rFonts w:ascii="Times New Roman" w:hAnsi="Times New Roman" w:eastAsia="Times New Roman" w:cs="Times New Roman"/>
                      <w:color w:val="000000"/>
                      <w:sz w:val="18"/>
                      <w:szCs w:val="18"/>
                      <w:highlight w:val="none"/>
                    </w:rPr>
                    <w:t>6</w:t>
                  </w:r>
                </w:p>
              </w:tc>
              <w:tc>
                <w:tcPr>
                  <w:tcW w:w="1131" w:type="pct"/>
                  <w:tcBorders>
                    <w:top w:val="single" w:color="000000" w:sz="12" w:space="0"/>
                    <w:left w:val="single" w:color="000000" w:sz="4" w:space="0"/>
                    <w:bottom w:val="single" w:color="000000" w:sz="4" w:space="0"/>
                    <w:right w:val="single" w:color="000000" w:sz="4" w:space="0"/>
                  </w:tcBorders>
                  <w:noWrap w:val="0"/>
                  <w:vAlign w:val="center"/>
                </w:tcPr>
                <w:p w14:paraId="28CE5FFE">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1"/>
                      <w:sz w:val="18"/>
                      <w:szCs w:val="18"/>
                      <w:highlight w:val="none"/>
                    </w:rPr>
                    <w:t>29</w:t>
                  </w:r>
                  <w:r>
                    <w:rPr>
                      <w:rFonts w:ascii="Times New Roman" w:hAnsi="Times New Roman" w:eastAsia="Times New Roman" w:cs="Times New Roman"/>
                      <w:color w:val="000000"/>
                      <w:sz w:val="18"/>
                      <w:szCs w:val="18"/>
                      <w:highlight w:val="none"/>
                    </w:rPr>
                    <w:t>5</w:t>
                  </w:r>
                </w:p>
              </w:tc>
              <w:tc>
                <w:tcPr>
                  <w:tcW w:w="2017" w:type="pct"/>
                  <w:tcBorders>
                    <w:top w:val="single" w:color="000000" w:sz="12" w:space="0"/>
                    <w:left w:val="single" w:color="000000" w:sz="4" w:space="0"/>
                    <w:bottom w:val="single" w:color="000000" w:sz="4" w:space="0"/>
                  </w:tcBorders>
                  <w:noWrap w:val="0"/>
                  <w:vAlign w:val="center"/>
                </w:tcPr>
                <w:p w14:paraId="74193DFD">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宋体" w:hAnsi="宋体" w:eastAsia="宋体" w:cs="宋体"/>
                      <w:color w:val="000000"/>
                      <w:sz w:val="18"/>
                      <w:szCs w:val="18"/>
                      <w:highlight w:val="none"/>
                    </w:rPr>
                  </w:pPr>
                  <w:r>
                    <w:rPr>
                      <w:rFonts w:ascii="宋体" w:hAnsi="宋体" w:eastAsia="宋体" w:cs="宋体"/>
                      <w:color w:val="000000"/>
                      <w:spacing w:val="-11"/>
                      <w:sz w:val="18"/>
                      <w:szCs w:val="18"/>
                      <w:highlight w:val="none"/>
                    </w:rPr>
                    <w:t>华</w:t>
                  </w:r>
                  <w:r>
                    <w:rPr>
                      <w:rFonts w:ascii="宋体" w:hAnsi="宋体" w:eastAsia="宋体" w:cs="宋体"/>
                      <w:color w:val="000000"/>
                      <w:spacing w:val="-9"/>
                      <w:sz w:val="18"/>
                      <w:szCs w:val="18"/>
                      <w:highlight w:val="none"/>
                    </w:rPr>
                    <w:t>信</w:t>
                  </w:r>
                  <w:r>
                    <w:rPr>
                      <w:rFonts w:ascii="Times New Roman" w:hAnsi="Times New Roman" w:eastAsia="Times New Roman" w:cs="Times New Roman"/>
                      <w:color w:val="000000"/>
                      <w:spacing w:val="-9"/>
                      <w:sz w:val="18"/>
                      <w:szCs w:val="18"/>
                      <w:highlight w:val="none"/>
                    </w:rPr>
                    <w:t>1</w:t>
                  </w:r>
                  <w:r>
                    <w:rPr>
                      <w:rFonts w:ascii="宋体" w:hAnsi="宋体" w:eastAsia="宋体" w:cs="宋体"/>
                      <w:color w:val="000000"/>
                      <w:spacing w:val="-9"/>
                      <w:sz w:val="18"/>
                      <w:szCs w:val="18"/>
                      <w:highlight w:val="none"/>
                    </w:rPr>
                    <w:t>号线</w:t>
                  </w:r>
                  <w:r>
                    <w:rPr>
                      <w:rFonts w:ascii="Times New Roman" w:hAnsi="Times New Roman" w:eastAsia="Times New Roman" w:cs="Times New Roman"/>
                      <w:color w:val="000000"/>
                      <w:spacing w:val="-9"/>
                      <w:sz w:val="18"/>
                      <w:szCs w:val="18"/>
                      <w:highlight w:val="none"/>
                    </w:rPr>
                    <w:t>400</w:t>
                  </w:r>
                  <w:r>
                    <w:rPr>
                      <w:rFonts w:ascii="宋体" w:hAnsi="宋体" w:eastAsia="宋体" w:cs="宋体"/>
                      <w:color w:val="000000"/>
                      <w:spacing w:val="-9"/>
                      <w:sz w:val="18"/>
                      <w:szCs w:val="18"/>
                      <w:highlight w:val="none"/>
                    </w:rPr>
                    <w:t>万吨</w:t>
                  </w:r>
                </w:p>
              </w:tc>
            </w:tr>
            <w:tr w14:paraId="0D6A6FDE">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5" w:type="pct"/>
                  <w:tcBorders>
                    <w:top w:val="single" w:color="000000" w:sz="4" w:space="0"/>
                    <w:bottom w:val="single" w:color="000000" w:sz="4" w:space="0"/>
                    <w:right w:val="single" w:color="000000" w:sz="4" w:space="0"/>
                  </w:tcBorders>
                  <w:noWrap w:val="0"/>
                  <w:vAlign w:val="center"/>
                </w:tcPr>
                <w:p w14:paraId="6D60E496">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pacing w:val="-2"/>
                      <w:sz w:val="18"/>
                      <w:szCs w:val="18"/>
                      <w:highlight w:val="none"/>
                      <w:lang w:eastAsia="zh-CN"/>
                    </w:rPr>
                    <w:t>C</w:t>
                  </w:r>
                  <w:r>
                    <w:rPr>
                      <w:rFonts w:hint="eastAsia" w:ascii="Times New Roman" w:hAnsi="Times New Roman" w:cs="Times New Roman"/>
                      <w:b w:val="0"/>
                      <w:bCs w:val="0"/>
                      <w:color w:val="000000"/>
                      <w:spacing w:val="-2"/>
                      <w:sz w:val="18"/>
                      <w:szCs w:val="18"/>
                      <w:highlight w:val="none"/>
                      <w:lang w:val="en-US" w:eastAsia="zh-CN"/>
                    </w:rPr>
                    <w:t>2</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5E4D006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cs="Times New Roman"/>
                      <w:b w:val="0"/>
                      <w:bCs w:val="0"/>
                      <w:color w:val="000000"/>
                      <w:spacing w:val="-1"/>
                      <w:sz w:val="18"/>
                      <w:szCs w:val="18"/>
                      <w:highlight w:val="none"/>
                      <w:lang w:val="en-US" w:eastAsia="zh-CN"/>
                    </w:rPr>
                    <w:t>183.26</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506CEC49">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eastAsia="宋体" w:cs="Times New Roman"/>
                      <w:b w:val="0"/>
                      <w:bCs w:val="0"/>
                      <w:color w:val="000000"/>
                      <w:sz w:val="18"/>
                      <w:szCs w:val="18"/>
                      <w:highlight w:val="none"/>
                      <w:lang w:val="en-US" w:eastAsia="zh-CN"/>
                    </w:rPr>
                    <w:t>145.37</w:t>
                  </w:r>
                </w:p>
              </w:tc>
              <w:tc>
                <w:tcPr>
                  <w:tcW w:w="2017" w:type="pct"/>
                  <w:tcBorders>
                    <w:top w:val="single" w:color="000000" w:sz="4" w:space="0"/>
                    <w:left w:val="single" w:color="000000" w:sz="4" w:space="0"/>
                    <w:bottom w:val="single" w:color="000000" w:sz="4" w:space="0"/>
                  </w:tcBorders>
                  <w:noWrap w:val="0"/>
                  <w:vAlign w:val="center"/>
                </w:tcPr>
                <w:p w14:paraId="4CA52D9A">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宋体" w:hAnsi="宋体" w:eastAsia="宋体" w:cs="宋体"/>
                      <w:b w:val="0"/>
                      <w:bCs w:val="0"/>
                      <w:color w:val="000000"/>
                      <w:sz w:val="18"/>
                      <w:szCs w:val="18"/>
                      <w:highlight w:val="none"/>
                    </w:rPr>
                  </w:pPr>
                  <w:r>
                    <w:rPr>
                      <w:rFonts w:ascii="宋体" w:hAnsi="宋体" w:eastAsia="宋体" w:cs="宋体"/>
                      <w:b w:val="0"/>
                      <w:bCs w:val="0"/>
                      <w:color w:val="000000"/>
                      <w:spacing w:val="-14"/>
                      <w:sz w:val="18"/>
                      <w:szCs w:val="18"/>
                      <w:highlight w:val="none"/>
                    </w:rPr>
                    <w:t>华</w:t>
                  </w:r>
                  <w:r>
                    <w:rPr>
                      <w:rFonts w:ascii="宋体" w:hAnsi="宋体" w:eastAsia="宋体" w:cs="宋体"/>
                      <w:b w:val="0"/>
                      <w:bCs w:val="0"/>
                      <w:color w:val="000000"/>
                      <w:spacing w:val="-8"/>
                      <w:sz w:val="18"/>
                      <w:szCs w:val="18"/>
                      <w:highlight w:val="none"/>
                    </w:rPr>
                    <w:t>信</w:t>
                  </w:r>
                  <w:r>
                    <w:rPr>
                      <w:rFonts w:ascii="Times New Roman" w:hAnsi="Times New Roman" w:eastAsia="Times New Roman" w:cs="Times New Roman"/>
                      <w:b w:val="0"/>
                      <w:bCs w:val="0"/>
                      <w:color w:val="000000"/>
                      <w:spacing w:val="-8"/>
                      <w:sz w:val="18"/>
                      <w:szCs w:val="18"/>
                      <w:highlight w:val="none"/>
                    </w:rPr>
                    <w:t>1</w:t>
                  </w:r>
                  <w:r>
                    <w:rPr>
                      <w:rFonts w:ascii="宋体" w:hAnsi="宋体" w:eastAsia="宋体" w:cs="宋体"/>
                      <w:b w:val="0"/>
                      <w:bCs w:val="0"/>
                      <w:color w:val="000000"/>
                      <w:spacing w:val="-8"/>
                      <w:sz w:val="18"/>
                      <w:szCs w:val="18"/>
                      <w:highlight w:val="none"/>
                    </w:rPr>
                    <w:t>号线</w:t>
                  </w:r>
                  <w:r>
                    <w:rPr>
                      <w:rFonts w:ascii="Times New Roman" w:hAnsi="Times New Roman" w:eastAsia="Times New Roman" w:cs="Times New Roman"/>
                      <w:b w:val="0"/>
                      <w:bCs w:val="0"/>
                      <w:color w:val="000000"/>
                      <w:spacing w:val="-8"/>
                      <w:sz w:val="18"/>
                      <w:szCs w:val="18"/>
                      <w:highlight w:val="none"/>
                    </w:rPr>
                    <w:t>400</w:t>
                  </w:r>
                  <w:r>
                    <w:rPr>
                      <w:rFonts w:ascii="宋体" w:hAnsi="宋体" w:eastAsia="宋体" w:cs="宋体"/>
                      <w:b w:val="0"/>
                      <w:bCs w:val="0"/>
                      <w:color w:val="000000"/>
                      <w:spacing w:val="-8"/>
                      <w:sz w:val="18"/>
                      <w:szCs w:val="18"/>
                      <w:highlight w:val="none"/>
                    </w:rPr>
                    <w:t>万吨</w:t>
                  </w:r>
                  <w:r>
                    <w:rPr>
                      <w:rFonts w:ascii="Times New Roman" w:hAnsi="Times New Roman" w:eastAsia="Times New Roman" w:cs="Times New Roman"/>
                      <w:b w:val="0"/>
                      <w:bCs w:val="0"/>
                      <w:color w:val="000000"/>
                      <w:spacing w:val="-8"/>
                      <w:sz w:val="18"/>
                      <w:szCs w:val="18"/>
                      <w:highlight w:val="none"/>
                    </w:rPr>
                    <w:t>/</w:t>
                  </w:r>
                  <w:r>
                    <w:rPr>
                      <w:rFonts w:ascii="宋体" w:hAnsi="宋体" w:eastAsia="宋体" w:cs="宋体"/>
                      <w:b w:val="0"/>
                      <w:bCs w:val="0"/>
                      <w:color w:val="000000"/>
                      <w:spacing w:val="-8"/>
                      <w:sz w:val="18"/>
                      <w:szCs w:val="18"/>
                      <w:highlight w:val="none"/>
                    </w:rPr>
                    <w:t>年</w:t>
                  </w:r>
                </w:p>
              </w:tc>
            </w:tr>
            <w:tr w14:paraId="2D71701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5" w:type="pct"/>
                  <w:tcBorders>
                    <w:top w:val="single" w:color="000000" w:sz="4" w:space="0"/>
                    <w:bottom w:val="single" w:color="000000" w:sz="4" w:space="0"/>
                    <w:right w:val="single" w:color="000000" w:sz="4" w:space="0"/>
                  </w:tcBorders>
                  <w:noWrap w:val="0"/>
                  <w:vAlign w:val="center"/>
                </w:tcPr>
                <w:p w14:paraId="39C9582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2"/>
                      <w:sz w:val="18"/>
                      <w:szCs w:val="18"/>
                      <w:highlight w:val="none"/>
                    </w:rPr>
                    <w:t>C3</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14:paraId="12297BE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Times New Roman" w:cs="Times New Roman"/>
                      <w:color w:val="000000"/>
                      <w:sz w:val="18"/>
                      <w:szCs w:val="18"/>
                      <w:highlight w:val="none"/>
                    </w:rPr>
                  </w:pPr>
                  <w:r>
                    <w:rPr>
                      <w:rFonts w:hint="eastAsia" w:ascii="Times New Roman" w:hAnsi="Times New Roman" w:eastAsia="宋体" w:cs="Times New Roman"/>
                      <w:b w:val="0"/>
                      <w:bCs w:val="0"/>
                      <w:color w:val="000000"/>
                      <w:spacing w:val="-2"/>
                      <w:sz w:val="18"/>
                      <w:szCs w:val="18"/>
                      <w:highlight w:val="none"/>
                      <w:lang w:val="en-US" w:eastAsia="zh-CN"/>
                    </w:rPr>
                    <w:t>757.2</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14:paraId="327E6A8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Times New Roman" w:cs="Times New Roman"/>
                      <w:color w:val="000000"/>
                      <w:sz w:val="18"/>
                      <w:szCs w:val="18"/>
                      <w:highlight w:val="none"/>
                    </w:rPr>
                  </w:pPr>
                  <w:r>
                    <w:rPr>
                      <w:rFonts w:hint="eastAsia" w:ascii="Times New Roman" w:hAnsi="Times New Roman" w:eastAsia="宋体" w:cs="Times New Roman"/>
                      <w:b w:val="0"/>
                      <w:bCs w:val="0"/>
                      <w:color w:val="000000"/>
                      <w:spacing w:val="-2"/>
                      <w:sz w:val="18"/>
                      <w:szCs w:val="18"/>
                      <w:highlight w:val="none"/>
                      <w:lang w:val="en-US" w:eastAsia="zh-CN"/>
                    </w:rPr>
                    <w:t xml:space="preserve"> 569.81</w:t>
                  </w:r>
                </w:p>
              </w:tc>
              <w:tc>
                <w:tcPr>
                  <w:tcW w:w="2017" w:type="pct"/>
                  <w:tcBorders>
                    <w:top w:val="single" w:color="000000" w:sz="4" w:space="0"/>
                    <w:left w:val="single" w:color="000000" w:sz="4" w:space="0"/>
                    <w:bottom w:val="single" w:color="000000" w:sz="4" w:space="0"/>
                  </w:tcBorders>
                  <w:noWrap w:val="0"/>
                  <w:vAlign w:val="center"/>
                </w:tcPr>
                <w:p w14:paraId="0B2ED78F">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宋体" w:hAnsi="宋体" w:eastAsia="宋体" w:cs="宋体"/>
                      <w:color w:val="000000"/>
                      <w:sz w:val="18"/>
                      <w:szCs w:val="18"/>
                      <w:highlight w:val="none"/>
                    </w:rPr>
                  </w:pPr>
                  <w:r>
                    <w:rPr>
                      <w:rFonts w:ascii="宋体" w:hAnsi="宋体" w:eastAsia="宋体" w:cs="宋体"/>
                      <w:color w:val="000000"/>
                      <w:spacing w:val="-11"/>
                      <w:sz w:val="18"/>
                      <w:szCs w:val="18"/>
                      <w:highlight w:val="none"/>
                    </w:rPr>
                    <w:t>华</w:t>
                  </w:r>
                  <w:r>
                    <w:rPr>
                      <w:rFonts w:ascii="宋体" w:hAnsi="宋体" w:eastAsia="宋体" w:cs="宋体"/>
                      <w:color w:val="000000"/>
                      <w:spacing w:val="-9"/>
                      <w:sz w:val="18"/>
                      <w:szCs w:val="18"/>
                      <w:highlight w:val="none"/>
                    </w:rPr>
                    <w:t>信</w:t>
                  </w:r>
                  <w:r>
                    <w:rPr>
                      <w:rFonts w:ascii="Times New Roman" w:hAnsi="Times New Roman" w:eastAsia="Times New Roman" w:cs="Times New Roman"/>
                      <w:color w:val="000000"/>
                      <w:spacing w:val="-9"/>
                      <w:sz w:val="18"/>
                      <w:szCs w:val="18"/>
                      <w:highlight w:val="none"/>
                    </w:rPr>
                    <w:t>2</w:t>
                  </w:r>
                  <w:r>
                    <w:rPr>
                      <w:rFonts w:ascii="宋体" w:hAnsi="宋体" w:eastAsia="宋体" w:cs="宋体"/>
                      <w:color w:val="000000"/>
                      <w:spacing w:val="-9"/>
                      <w:sz w:val="18"/>
                      <w:szCs w:val="18"/>
                      <w:highlight w:val="none"/>
                    </w:rPr>
                    <w:t>号线</w:t>
                  </w:r>
                  <w:r>
                    <w:rPr>
                      <w:rFonts w:ascii="Times New Roman" w:hAnsi="Times New Roman" w:eastAsia="Times New Roman" w:cs="Times New Roman"/>
                      <w:color w:val="000000"/>
                      <w:spacing w:val="-9"/>
                      <w:sz w:val="18"/>
                      <w:szCs w:val="18"/>
                      <w:highlight w:val="none"/>
                    </w:rPr>
                    <w:t>500</w:t>
                  </w:r>
                  <w:r>
                    <w:rPr>
                      <w:rFonts w:ascii="宋体" w:hAnsi="宋体" w:eastAsia="宋体" w:cs="宋体"/>
                      <w:color w:val="000000"/>
                      <w:spacing w:val="-9"/>
                      <w:sz w:val="18"/>
                      <w:szCs w:val="18"/>
                      <w:highlight w:val="none"/>
                    </w:rPr>
                    <w:t>万吨</w:t>
                  </w:r>
                </w:p>
              </w:tc>
            </w:tr>
            <w:tr w14:paraId="1FCD9343">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5" w:type="pct"/>
                  <w:tcBorders>
                    <w:top w:val="single" w:color="000000" w:sz="4" w:space="0"/>
                    <w:bottom w:val="single" w:color="000000" w:sz="4" w:space="0"/>
                    <w:right w:val="single" w:color="000000" w:sz="4" w:space="0"/>
                  </w:tcBorders>
                  <w:noWrap w:val="0"/>
                  <w:vAlign w:val="center"/>
                </w:tcPr>
                <w:p w14:paraId="38E11AD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2"/>
                      <w:sz w:val="18"/>
                      <w:szCs w:val="18"/>
                      <w:highlight w:val="none"/>
                    </w:rPr>
                    <w:t>C4</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50E6D313">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2"/>
                      <w:sz w:val="18"/>
                      <w:szCs w:val="18"/>
                      <w:highlight w:val="none"/>
                    </w:rPr>
                    <w:t>530</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178C1276">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6"/>
                      <w:sz w:val="18"/>
                      <w:szCs w:val="18"/>
                      <w:highlight w:val="none"/>
                    </w:rPr>
                    <w:t>1</w:t>
                  </w:r>
                  <w:r>
                    <w:rPr>
                      <w:rFonts w:ascii="Times New Roman" w:hAnsi="Times New Roman" w:eastAsia="Times New Roman" w:cs="Times New Roman"/>
                      <w:color w:val="000000"/>
                      <w:spacing w:val="-5"/>
                      <w:sz w:val="18"/>
                      <w:szCs w:val="18"/>
                      <w:highlight w:val="none"/>
                    </w:rPr>
                    <w:t>50</w:t>
                  </w:r>
                </w:p>
              </w:tc>
              <w:tc>
                <w:tcPr>
                  <w:tcW w:w="2017" w:type="pct"/>
                  <w:tcBorders>
                    <w:top w:val="single" w:color="000000" w:sz="4" w:space="0"/>
                    <w:left w:val="single" w:color="000000" w:sz="4" w:space="0"/>
                    <w:bottom w:val="single" w:color="000000" w:sz="4" w:space="0"/>
                  </w:tcBorders>
                  <w:noWrap w:val="0"/>
                  <w:vAlign w:val="center"/>
                </w:tcPr>
                <w:p w14:paraId="7BE8D1D9">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宋体" w:hAnsi="宋体" w:eastAsia="宋体" w:cs="宋体"/>
                      <w:color w:val="000000"/>
                      <w:sz w:val="18"/>
                      <w:szCs w:val="18"/>
                      <w:highlight w:val="none"/>
                    </w:rPr>
                  </w:pPr>
                  <w:r>
                    <w:rPr>
                      <w:rFonts w:ascii="宋体" w:hAnsi="宋体" w:eastAsia="宋体" w:cs="宋体"/>
                      <w:color w:val="000000"/>
                      <w:spacing w:val="-11"/>
                      <w:sz w:val="18"/>
                      <w:szCs w:val="18"/>
                      <w:highlight w:val="none"/>
                    </w:rPr>
                    <w:t>华</w:t>
                  </w:r>
                  <w:r>
                    <w:rPr>
                      <w:rFonts w:ascii="宋体" w:hAnsi="宋体" w:eastAsia="宋体" w:cs="宋体"/>
                      <w:color w:val="000000"/>
                      <w:spacing w:val="-9"/>
                      <w:sz w:val="18"/>
                      <w:szCs w:val="18"/>
                      <w:highlight w:val="none"/>
                    </w:rPr>
                    <w:t>信</w:t>
                  </w:r>
                  <w:r>
                    <w:rPr>
                      <w:rFonts w:ascii="Times New Roman" w:hAnsi="Times New Roman" w:eastAsia="Times New Roman" w:cs="Times New Roman"/>
                      <w:color w:val="000000"/>
                      <w:spacing w:val="-9"/>
                      <w:sz w:val="18"/>
                      <w:szCs w:val="18"/>
                      <w:highlight w:val="none"/>
                    </w:rPr>
                    <w:t>1</w:t>
                  </w:r>
                  <w:r>
                    <w:rPr>
                      <w:rFonts w:ascii="宋体" w:hAnsi="宋体" w:eastAsia="宋体" w:cs="宋体"/>
                      <w:color w:val="000000"/>
                      <w:spacing w:val="-9"/>
                      <w:sz w:val="18"/>
                      <w:szCs w:val="18"/>
                      <w:highlight w:val="none"/>
                    </w:rPr>
                    <w:t>号线</w:t>
                  </w:r>
                  <w:r>
                    <w:rPr>
                      <w:rFonts w:ascii="Times New Roman" w:hAnsi="Times New Roman" w:eastAsia="Times New Roman" w:cs="Times New Roman"/>
                      <w:color w:val="000000"/>
                      <w:spacing w:val="-9"/>
                      <w:sz w:val="18"/>
                      <w:szCs w:val="18"/>
                      <w:highlight w:val="none"/>
                    </w:rPr>
                    <w:t>400</w:t>
                  </w:r>
                  <w:r>
                    <w:rPr>
                      <w:rFonts w:ascii="宋体" w:hAnsi="宋体" w:eastAsia="宋体" w:cs="宋体"/>
                      <w:color w:val="000000"/>
                      <w:spacing w:val="-9"/>
                      <w:sz w:val="18"/>
                      <w:szCs w:val="18"/>
                      <w:highlight w:val="none"/>
                    </w:rPr>
                    <w:t>万吨</w:t>
                  </w:r>
                </w:p>
              </w:tc>
            </w:tr>
            <w:tr w14:paraId="429F9A5B">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5" w:type="pct"/>
                  <w:tcBorders>
                    <w:top w:val="single" w:color="000000" w:sz="4" w:space="0"/>
                    <w:bottom w:val="single" w:color="000000" w:sz="4" w:space="0"/>
                    <w:right w:val="single" w:color="000000" w:sz="4" w:space="0"/>
                  </w:tcBorders>
                  <w:noWrap w:val="0"/>
                  <w:vAlign w:val="center"/>
                </w:tcPr>
                <w:p w14:paraId="1BA8FD17">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bCs w:val="0"/>
                      <w:color w:val="000000"/>
                      <w:sz w:val="18"/>
                      <w:szCs w:val="18"/>
                      <w:highlight w:val="none"/>
                      <w:lang w:val="en-US" w:eastAsia="zh-CN"/>
                    </w:rPr>
                  </w:pPr>
                  <w:r>
                    <w:rPr>
                      <w:rFonts w:hint="eastAsia" w:ascii="Times New Roman" w:hAnsi="Times New Roman" w:eastAsia="宋体" w:cs="Times New Roman"/>
                      <w:b w:val="0"/>
                      <w:bCs w:val="0"/>
                      <w:color w:val="000000"/>
                      <w:spacing w:val="-2"/>
                      <w:sz w:val="18"/>
                      <w:szCs w:val="18"/>
                      <w:highlight w:val="none"/>
                      <w:lang w:eastAsia="zh-CN"/>
                    </w:rPr>
                    <w:t>C</w:t>
                  </w:r>
                  <w:r>
                    <w:rPr>
                      <w:rFonts w:hint="eastAsia" w:ascii="Times New Roman" w:hAnsi="Times New Roman" w:cs="Times New Roman"/>
                      <w:b w:val="0"/>
                      <w:bCs w:val="0"/>
                      <w:color w:val="000000"/>
                      <w:spacing w:val="-2"/>
                      <w:sz w:val="18"/>
                      <w:szCs w:val="18"/>
                      <w:highlight w:val="none"/>
                      <w:lang w:val="en-US" w:eastAsia="zh-CN"/>
                    </w:rPr>
                    <w:t>5</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4D892212">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b w:val="0"/>
                      <w:bCs w:val="0"/>
                      <w:color w:val="000000"/>
                      <w:spacing w:val="-1"/>
                      <w:sz w:val="18"/>
                      <w:szCs w:val="18"/>
                      <w:highlight w:val="none"/>
                    </w:rPr>
                  </w:pPr>
                  <w:r>
                    <w:rPr>
                      <w:rFonts w:hint="eastAsia" w:ascii="Times New Roman" w:hAnsi="Times New Roman" w:eastAsia="Times New Roman" w:cs="Times New Roman"/>
                      <w:b w:val="0"/>
                      <w:bCs w:val="0"/>
                      <w:color w:val="000000"/>
                      <w:spacing w:val="-1"/>
                      <w:sz w:val="18"/>
                      <w:szCs w:val="18"/>
                      <w:highlight w:val="none"/>
                      <w:lang w:val="en-US" w:eastAsia="zh-CN"/>
                    </w:rPr>
                    <w:t>369.42</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2CF042E4">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b w:val="0"/>
                      <w:bCs w:val="0"/>
                      <w:color w:val="000000"/>
                      <w:spacing w:val="-1"/>
                      <w:sz w:val="18"/>
                      <w:szCs w:val="18"/>
                      <w:highlight w:val="none"/>
                    </w:rPr>
                  </w:pPr>
                  <w:r>
                    <w:rPr>
                      <w:rFonts w:hint="eastAsia" w:ascii="Times New Roman" w:hAnsi="Times New Roman" w:eastAsia="Times New Roman" w:cs="Times New Roman"/>
                      <w:b w:val="0"/>
                      <w:bCs w:val="0"/>
                      <w:color w:val="000000"/>
                      <w:spacing w:val="-1"/>
                      <w:sz w:val="18"/>
                      <w:szCs w:val="18"/>
                      <w:highlight w:val="none"/>
                      <w:lang w:val="en-US" w:eastAsia="zh-CN"/>
                    </w:rPr>
                    <w:t>482</w:t>
                  </w:r>
                </w:p>
              </w:tc>
              <w:tc>
                <w:tcPr>
                  <w:tcW w:w="2017" w:type="pct"/>
                  <w:tcBorders>
                    <w:top w:val="single" w:color="000000" w:sz="4" w:space="0"/>
                    <w:left w:val="single" w:color="000000" w:sz="4" w:space="0"/>
                    <w:bottom w:val="single" w:color="000000" w:sz="4" w:space="0"/>
                  </w:tcBorders>
                  <w:noWrap w:val="0"/>
                  <w:vAlign w:val="center"/>
                </w:tcPr>
                <w:p w14:paraId="24C185A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宋体" w:hAnsi="宋体" w:eastAsia="宋体" w:cs="宋体"/>
                      <w:b w:val="0"/>
                      <w:bCs w:val="0"/>
                      <w:color w:val="000000"/>
                      <w:sz w:val="18"/>
                      <w:szCs w:val="18"/>
                      <w:highlight w:val="none"/>
                    </w:rPr>
                  </w:pPr>
                  <w:r>
                    <w:rPr>
                      <w:rFonts w:ascii="宋体" w:hAnsi="宋体" w:eastAsia="宋体" w:cs="宋体"/>
                      <w:b w:val="0"/>
                      <w:bCs w:val="0"/>
                      <w:color w:val="000000"/>
                      <w:spacing w:val="2"/>
                      <w:sz w:val="18"/>
                      <w:szCs w:val="18"/>
                      <w:highlight w:val="none"/>
                    </w:rPr>
                    <w:t>元昌</w:t>
                  </w:r>
                  <w:r>
                    <w:rPr>
                      <w:rFonts w:ascii="宋体" w:hAnsi="宋体" w:eastAsia="宋体" w:cs="宋体"/>
                      <w:b w:val="0"/>
                      <w:bCs w:val="0"/>
                      <w:color w:val="000000"/>
                      <w:spacing w:val="1"/>
                      <w:sz w:val="18"/>
                      <w:szCs w:val="18"/>
                      <w:highlight w:val="none"/>
                    </w:rPr>
                    <w:t>(</w:t>
                  </w:r>
                  <w:r>
                    <w:rPr>
                      <w:rFonts w:ascii="Times New Roman" w:hAnsi="Times New Roman" w:eastAsia="Times New Roman" w:cs="Times New Roman"/>
                      <w:b w:val="0"/>
                      <w:bCs w:val="0"/>
                      <w:color w:val="000000"/>
                      <w:spacing w:val="1"/>
                      <w:sz w:val="18"/>
                      <w:szCs w:val="18"/>
                      <w:highlight w:val="none"/>
                    </w:rPr>
                    <w:t>600</w:t>
                  </w:r>
                  <w:r>
                    <w:rPr>
                      <w:rFonts w:ascii="宋体" w:hAnsi="宋体" w:eastAsia="宋体" w:cs="宋体"/>
                      <w:b w:val="0"/>
                      <w:bCs w:val="0"/>
                      <w:color w:val="000000"/>
                      <w:spacing w:val="1"/>
                      <w:sz w:val="18"/>
                      <w:szCs w:val="18"/>
                      <w:highlight w:val="none"/>
                    </w:rPr>
                    <w:t>万吨</w:t>
                  </w:r>
                  <w:r>
                    <w:rPr>
                      <w:rFonts w:ascii="Times New Roman" w:hAnsi="Times New Roman" w:eastAsia="Times New Roman" w:cs="Times New Roman"/>
                      <w:b w:val="0"/>
                      <w:bCs w:val="0"/>
                      <w:color w:val="000000"/>
                      <w:spacing w:val="1"/>
                      <w:sz w:val="18"/>
                      <w:szCs w:val="18"/>
                      <w:highlight w:val="none"/>
                    </w:rPr>
                    <w:t>/</w:t>
                  </w:r>
                  <w:r>
                    <w:rPr>
                      <w:rFonts w:ascii="宋体" w:hAnsi="宋体" w:eastAsia="宋体" w:cs="宋体"/>
                      <w:b w:val="0"/>
                      <w:bCs w:val="0"/>
                      <w:color w:val="000000"/>
                      <w:spacing w:val="1"/>
                      <w:sz w:val="18"/>
                      <w:szCs w:val="18"/>
                      <w:highlight w:val="none"/>
                    </w:rPr>
                    <w:t>年)、闵通</w:t>
                  </w:r>
                  <w:r>
                    <w:rPr>
                      <w:rFonts w:ascii="Times New Roman" w:hAnsi="Times New Roman" w:eastAsia="Times New Roman" w:cs="Times New Roman"/>
                      <w:b w:val="0"/>
                      <w:bCs w:val="0"/>
                      <w:color w:val="000000"/>
                      <w:spacing w:val="1"/>
                      <w:sz w:val="18"/>
                      <w:szCs w:val="18"/>
                      <w:highlight w:val="none"/>
                    </w:rPr>
                    <w:t>1</w:t>
                  </w:r>
                  <w:r>
                    <w:rPr>
                      <w:rFonts w:ascii="宋体" w:hAnsi="宋体" w:eastAsia="宋体" w:cs="宋体"/>
                      <w:b w:val="0"/>
                      <w:bCs w:val="0"/>
                      <w:color w:val="000000"/>
                      <w:spacing w:val="1"/>
                      <w:sz w:val="18"/>
                      <w:szCs w:val="18"/>
                      <w:highlight w:val="none"/>
                    </w:rPr>
                    <w:t>号</w:t>
                  </w:r>
                  <w:r>
                    <w:rPr>
                      <w:rFonts w:ascii="宋体" w:hAnsi="宋体" w:eastAsia="宋体" w:cs="宋体"/>
                      <w:b w:val="0"/>
                      <w:bCs w:val="0"/>
                      <w:color w:val="000000"/>
                      <w:spacing w:val="12"/>
                      <w:sz w:val="18"/>
                      <w:szCs w:val="18"/>
                      <w:highlight w:val="none"/>
                    </w:rPr>
                    <w:t>线</w:t>
                  </w:r>
                  <w:r>
                    <w:rPr>
                      <w:rFonts w:ascii="宋体" w:hAnsi="宋体" w:eastAsia="宋体" w:cs="宋体"/>
                      <w:b w:val="0"/>
                      <w:bCs w:val="0"/>
                      <w:color w:val="000000"/>
                      <w:spacing w:val="8"/>
                      <w:sz w:val="18"/>
                      <w:szCs w:val="18"/>
                      <w:highlight w:val="none"/>
                    </w:rPr>
                    <w:t>(</w:t>
                  </w:r>
                  <w:r>
                    <w:rPr>
                      <w:rFonts w:ascii="Times New Roman" w:hAnsi="Times New Roman" w:eastAsia="Times New Roman" w:cs="Times New Roman"/>
                      <w:b w:val="0"/>
                      <w:bCs w:val="0"/>
                      <w:color w:val="000000"/>
                      <w:spacing w:val="6"/>
                      <w:sz w:val="18"/>
                      <w:szCs w:val="18"/>
                      <w:highlight w:val="none"/>
                    </w:rPr>
                    <w:t>500</w:t>
                  </w:r>
                  <w:r>
                    <w:rPr>
                      <w:rFonts w:ascii="宋体" w:hAnsi="宋体" w:eastAsia="宋体" w:cs="宋体"/>
                      <w:b w:val="0"/>
                      <w:bCs w:val="0"/>
                      <w:color w:val="000000"/>
                      <w:spacing w:val="6"/>
                      <w:sz w:val="18"/>
                      <w:szCs w:val="18"/>
                      <w:highlight w:val="none"/>
                    </w:rPr>
                    <w:t>万吨</w:t>
                  </w:r>
                  <w:r>
                    <w:rPr>
                      <w:rFonts w:ascii="Times New Roman" w:hAnsi="Times New Roman" w:eastAsia="Times New Roman" w:cs="Times New Roman"/>
                      <w:b w:val="0"/>
                      <w:bCs w:val="0"/>
                      <w:color w:val="000000"/>
                      <w:spacing w:val="6"/>
                      <w:sz w:val="18"/>
                      <w:szCs w:val="18"/>
                      <w:highlight w:val="none"/>
                    </w:rPr>
                    <w:t>/</w:t>
                  </w:r>
                  <w:r>
                    <w:rPr>
                      <w:rFonts w:ascii="宋体" w:hAnsi="宋体" w:eastAsia="宋体" w:cs="宋体"/>
                      <w:b w:val="0"/>
                      <w:bCs w:val="0"/>
                      <w:color w:val="000000"/>
                      <w:spacing w:val="6"/>
                      <w:sz w:val="18"/>
                      <w:szCs w:val="18"/>
                      <w:highlight w:val="none"/>
                    </w:rPr>
                    <w:t>年)</w:t>
                  </w:r>
                </w:p>
              </w:tc>
            </w:tr>
            <w:tr w14:paraId="2A8CD42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5" w:type="pct"/>
                  <w:tcBorders>
                    <w:top w:val="single" w:color="000000" w:sz="4" w:space="0"/>
                    <w:bottom w:val="single" w:color="000000" w:sz="4" w:space="0"/>
                    <w:right w:val="single" w:color="000000" w:sz="4" w:space="0"/>
                  </w:tcBorders>
                  <w:noWrap w:val="0"/>
                  <w:vAlign w:val="center"/>
                </w:tcPr>
                <w:p w14:paraId="46ED1ADF">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2"/>
                      <w:sz w:val="18"/>
                      <w:szCs w:val="18"/>
                      <w:highlight w:val="none"/>
                    </w:rPr>
                    <w:t>C6</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28F2A1BF">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2"/>
                      <w:sz w:val="18"/>
                      <w:szCs w:val="18"/>
                      <w:highlight w:val="none"/>
                    </w:rPr>
                    <w:t>560</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3892CDAD">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1"/>
                      <w:sz w:val="18"/>
                      <w:szCs w:val="18"/>
                      <w:highlight w:val="none"/>
                    </w:rPr>
                    <w:t>21</w:t>
                  </w:r>
                  <w:r>
                    <w:rPr>
                      <w:rFonts w:ascii="Times New Roman" w:hAnsi="Times New Roman" w:eastAsia="Times New Roman" w:cs="Times New Roman"/>
                      <w:color w:val="000000"/>
                      <w:sz w:val="18"/>
                      <w:szCs w:val="18"/>
                      <w:highlight w:val="none"/>
                    </w:rPr>
                    <w:t>5</w:t>
                  </w:r>
                </w:p>
              </w:tc>
              <w:tc>
                <w:tcPr>
                  <w:tcW w:w="2017" w:type="pct"/>
                  <w:tcBorders>
                    <w:top w:val="single" w:color="000000" w:sz="4" w:space="0"/>
                    <w:left w:val="single" w:color="000000" w:sz="4" w:space="0"/>
                    <w:bottom w:val="single" w:color="000000" w:sz="4" w:space="0"/>
                  </w:tcBorders>
                  <w:noWrap w:val="0"/>
                  <w:vAlign w:val="center"/>
                </w:tcPr>
                <w:p w14:paraId="194B07C6">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宋体" w:hAnsi="宋体" w:eastAsia="宋体" w:cs="宋体"/>
                      <w:color w:val="000000"/>
                      <w:sz w:val="18"/>
                      <w:szCs w:val="18"/>
                      <w:highlight w:val="none"/>
                    </w:rPr>
                  </w:pPr>
                  <w:r>
                    <w:rPr>
                      <w:rFonts w:ascii="宋体" w:hAnsi="宋体" w:eastAsia="宋体" w:cs="宋体"/>
                      <w:color w:val="000000"/>
                      <w:spacing w:val="-1"/>
                      <w:sz w:val="18"/>
                      <w:szCs w:val="18"/>
                      <w:highlight w:val="none"/>
                    </w:rPr>
                    <w:t>闽通</w:t>
                  </w:r>
                  <w:r>
                    <w:rPr>
                      <w:rFonts w:ascii="Times New Roman" w:hAnsi="Times New Roman" w:eastAsia="Times New Roman" w:cs="Times New Roman"/>
                      <w:color w:val="000000"/>
                      <w:spacing w:val="-1"/>
                      <w:sz w:val="18"/>
                      <w:szCs w:val="18"/>
                      <w:highlight w:val="none"/>
                    </w:rPr>
                    <w:t>1</w:t>
                  </w:r>
                  <w:r>
                    <w:rPr>
                      <w:rFonts w:ascii="宋体" w:hAnsi="宋体" w:eastAsia="宋体" w:cs="宋体"/>
                      <w:color w:val="000000"/>
                      <w:sz w:val="18"/>
                      <w:szCs w:val="18"/>
                      <w:highlight w:val="none"/>
                    </w:rPr>
                    <w:t>号线(</w:t>
                  </w:r>
                  <w:r>
                    <w:rPr>
                      <w:rFonts w:ascii="Times New Roman" w:hAnsi="Times New Roman" w:eastAsia="Times New Roman" w:cs="Times New Roman"/>
                      <w:color w:val="000000"/>
                      <w:sz w:val="18"/>
                      <w:szCs w:val="18"/>
                      <w:highlight w:val="none"/>
                    </w:rPr>
                    <w:t>500</w:t>
                  </w:r>
                  <w:r>
                    <w:rPr>
                      <w:rFonts w:ascii="宋体" w:hAnsi="宋体" w:eastAsia="宋体" w:cs="宋体"/>
                      <w:color w:val="000000"/>
                      <w:sz w:val="18"/>
                      <w:szCs w:val="18"/>
                      <w:highlight w:val="none"/>
                    </w:rPr>
                    <w:t>万吨</w:t>
                  </w:r>
                  <w:r>
                    <w:rPr>
                      <w:rFonts w:ascii="Times New Roman" w:hAnsi="Times New Roman" w:eastAsia="Times New Roman" w:cs="Times New Roman"/>
                      <w:color w:val="000000"/>
                      <w:sz w:val="18"/>
                      <w:szCs w:val="18"/>
                      <w:highlight w:val="none"/>
                    </w:rPr>
                    <w:t>/</w:t>
                  </w:r>
                  <w:r>
                    <w:rPr>
                      <w:rFonts w:ascii="宋体" w:hAnsi="宋体" w:eastAsia="宋体" w:cs="宋体"/>
                      <w:color w:val="000000"/>
                      <w:sz w:val="18"/>
                      <w:szCs w:val="18"/>
                      <w:highlight w:val="none"/>
                    </w:rPr>
                    <w:t>年)</w:t>
                  </w:r>
                </w:p>
              </w:tc>
            </w:tr>
            <w:tr w14:paraId="321E1B5E">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5" w:type="pct"/>
                  <w:tcBorders>
                    <w:top w:val="single" w:color="000000" w:sz="4" w:space="0"/>
                    <w:bottom w:val="single" w:color="000000" w:sz="4" w:space="0"/>
                    <w:right w:val="single" w:color="000000" w:sz="4" w:space="0"/>
                  </w:tcBorders>
                  <w:noWrap w:val="0"/>
                  <w:vAlign w:val="center"/>
                </w:tcPr>
                <w:p w14:paraId="14AA2404">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2"/>
                      <w:sz w:val="18"/>
                      <w:szCs w:val="18"/>
                      <w:highlight w:val="none"/>
                    </w:rPr>
                    <w:t>C7</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309CF5CC">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2"/>
                      <w:sz w:val="18"/>
                      <w:szCs w:val="18"/>
                      <w:highlight w:val="none"/>
                    </w:rPr>
                    <w:t>62</w:t>
                  </w:r>
                  <w:r>
                    <w:rPr>
                      <w:rFonts w:ascii="Times New Roman" w:hAnsi="Times New Roman" w:eastAsia="Times New Roman" w:cs="Times New Roman"/>
                      <w:color w:val="000000"/>
                      <w:spacing w:val="-1"/>
                      <w:sz w:val="18"/>
                      <w:szCs w:val="18"/>
                      <w:highlight w:val="none"/>
                    </w:rPr>
                    <w:t>3</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415FF5B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6"/>
                      <w:sz w:val="18"/>
                      <w:szCs w:val="18"/>
                      <w:highlight w:val="none"/>
                    </w:rPr>
                    <w:t>1</w:t>
                  </w:r>
                  <w:r>
                    <w:rPr>
                      <w:rFonts w:ascii="Times New Roman" w:hAnsi="Times New Roman" w:eastAsia="Times New Roman" w:cs="Times New Roman"/>
                      <w:color w:val="000000"/>
                      <w:spacing w:val="-5"/>
                      <w:sz w:val="18"/>
                      <w:szCs w:val="18"/>
                      <w:highlight w:val="none"/>
                    </w:rPr>
                    <w:t>44</w:t>
                  </w:r>
                </w:p>
              </w:tc>
              <w:tc>
                <w:tcPr>
                  <w:tcW w:w="2017" w:type="pct"/>
                  <w:tcBorders>
                    <w:top w:val="single" w:color="000000" w:sz="4" w:space="0"/>
                    <w:left w:val="single" w:color="000000" w:sz="4" w:space="0"/>
                    <w:bottom w:val="single" w:color="000000" w:sz="4" w:space="0"/>
                  </w:tcBorders>
                  <w:noWrap w:val="0"/>
                  <w:vAlign w:val="center"/>
                </w:tcPr>
                <w:p w14:paraId="337D0235">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eastAsia" w:ascii="宋体" w:hAnsi="宋体" w:eastAsia="宋体" w:cs="宋体"/>
                      <w:color w:val="000000"/>
                      <w:sz w:val="18"/>
                      <w:szCs w:val="18"/>
                      <w:highlight w:val="none"/>
                      <w:lang w:eastAsia="zh-CN"/>
                    </w:rPr>
                  </w:pPr>
                  <w:r>
                    <w:rPr>
                      <w:rFonts w:hint="eastAsia" w:ascii="宋体" w:hAnsi="宋体" w:cs="宋体"/>
                      <w:color w:val="000000"/>
                      <w:spacing w:val="-1"/>
                      <w:sz w:val="18"/>
                      <w:szCs w:val="18"/>
                      <w:highlight w:val="none"/>
                      <w:lang w:eastAsia="zh-CN"/>
                    </w:rPr>
                    <w:t>盛丰（</w:t>
                  </w:r>
                  <w:r>
                    <w:rPr>
                      <w:rFonts w:hint="eastAsia" w:ascii="Times New Roman" w:hAnsi="Times New Roman" w:eastAsia="宋体" w:cs="Times New Roman"/>
                      <w:color w:val="000000"/>
                      <w:sz w:val="18"/>
                      <w:szCs w:val="18"/>
                      <w:highlight w:val="none"/>
                      <w:lang w:val="en-US" w:eastAsia="zh-CN"/>
                    </w:rPr>
                    <w:t>6</w:t>
                  </w:r>
                  <w:r>
                    <w:rPr>
                      <w:rFonts w:ascii="Times New Roman" w:hAnsi="Times New Roman" w:eastAsia="Times New Roman" w:cs="Times New Roman"/>
                      <w:color w:val="000000"/>
                      <w:sz w:val="18"/>
                      <w:szCs w:val="18"/>
                      <w:highlight w:val="none"/>
                    </w:rPr>
                    <w:t>00</w:t>
                  </w:r>
                  <w:r>
                    <w:rPr>
                      <w:rFonts w:ascii="宋体" w:hAnsi="宋体" w:eastAsia="宋体" w:cs="宋体"/>
                      <w:color w:val="000000"/>
                      <w:sz w:val="18"/>
                      <w:szCs w:val="18"/>
                      <w:highlight w:val="none"/>
                    </w:rPr>
                    <w:t>万吨</w:t>
                  </w:r>
                  <w:r>
                    <w:rPr>
                      <w:rFonts w:ascii="Times New Roman" w:hAnsi="Times New Roman" w:eastAsia="Times New Roman" w:cs="Times New Roman"/>
                      <w:color w:val="000000"/>
                      <w:sz w:val="18"/>
                      <w:szCs w:val="18"/>
                      <w:highlight w:val="none"/>
                    </w:rPr>
                    <w:t>/</w:t>
                  </w:r>
                  <w:r>
                    <w:rPr>
                      <w:rFonts w:ascii="宋体" w:hAnsi="宋体" w:eastAsia="宋体" w:cs="宋体"/>
                      <w:color w:val="000000"/>
                      <w:sz w:val="18"/>
                      <w:szCs w:val="18"/>
                      <w:highlight w:val="none"/>
                    </w:rPr>
                    <w:t>年</w:t>
                  </w:r>
                  <w:r>
                    <w:rPr>
                      <w:rFonts w:hint="eastAsia" w:ascii="宋体" w:hAnsi="宋体" w:cs="宋体"/>
                      <w:color w:val="000000"/>
                      <w:spacing w:val="-1"/>
                      <w:sz w:val="18"/>
                      <w:szCs w:val="18"/>
                      <w:highlight w:val="none"/>
                      <w:lang w:eastAsia="zh-CN"/>
                    </w:rPr>
                    <w:t>）、石金（</w:t>
                  </w:r>
                  <w:r>
                    <w:rPr>
                      <w:rFonts w:hint="eastAsia" w:ascii="宋体" w:hAnsi="宋体" w:cs="宋体"/>
                      <w:color w:val="000000"/>
                      <w:spacing w:val="-1"/>
                      <w:sz w:val="18"/>
                      <w:szCs w:val="18"/>
                      <w:highlight w:val="none"/>
                      <w:lang w:val="en-US" w:eastAsia="zh-CN"/>
                    </w:rPr>
                    <w:t>100</w:t>
                  </w:r>
                  <w:r>
                    <w:rPr>
                      <w:rFonts w:ascii="宋体" w:hAnsi="宋体" w:eastAsia="宋体" w:cs="宋体"/>
                      <w:color w:val="000000"/>
                      <w:sz w:val="18"/>
                      <w:szCs w:val="18"/>
                      <w:highlight w:val="none"/>
                    </w:rPr>
                    <w:t>万吨</w:t>
                  </w:r>
                  <w:r>
                    <w:rPr>
                      <w:rFonts w:ascii="Times New Roman" w:hAnsi="Times New Roman" w:eastAsia="Times New Roman" w:cs="Times New Roman"/>
                      <w:color w:val="000000"/>
                      <w:sz w:val="18"/>
                      <w:szCs w:val="18"/>
                      <w:highlight w:val="none"/>
                    </w:rPr>
                    <w:t>/</w:t>
                  </w:r>
                  <w:r>
                    <w:rPr>
                      <w:rFonts w:ascii="宋体" w:hAnsi="宋体" w:eastAsia="宋体" w:cs="宋体"/>
                      <w:color w:val="000000"/>
                      <w:sz w:val="18"/>
                      <w:szCs w:val="18"/>
                      <w:highlight w:val="none"/>
                    </w:rPr>
                    <w:t>年</w:t>
                  </w:r>
                  <w:r>
                    <w:rPr>
                      <w:rFonts w:hint="eastAsia" w:ascii="宋体" w:hAnsi="宋体" w:cs="宋体"/>
                      <w:color w:val="000000"/>
                      <w:spacing w:val="-1"/>
                      <w:sz w:val="18"/>
                      <w:szCs w:val="18"/>
                      <w:highlight w:val="none"/>
                      <w:lang w:eastAsia="zh-CN"/>
                    </w:rPr>
                    <w:t>）</w:t>
                  </w:r>
                </w:p>
              </w:tc>
            </w:tr>
            <w:tr w14:paraId="4C45B10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5" w:type="pct"/>
                  <w:tcBorders>
                    <w:top w:val="single" w:color="000000" w:sz="4" w:space="0"/>
                    <w:bottom w:val="single" w:color="000000" w:sz="4" w:space="0"/>
                    <w:right w:val="single" w:color="000000" w:sz="4" w:space="0"/>
                  </w:tcBorders>
                  <w:noWrap w:val="0"/>
                  <w:vAlign w:val="center"/>
                </w:tcPr>
                <w:p w14:paraId="1429EC29">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b/>
                      <w:bCs/>
                      <w:color w:val="000000"/>
                      <w:sz w:val="18"/>
                      <w:szCs w:val="18"/>
                      <w:highlight w:val="none"/>
                    </w:rPr>
                  </w:pPr>
                  <w:r>
                    <w:rPr>
                      <w:rFonts w:ascii="Times New Roman" w:hAnsi="Times New Roman" w:eastAsia="Times New Roman" w:cs="Times New Roman"/>
                      <w:b/>
                      <w:bCs/>
                      <w:color w:val="000000"/>
                      <w:spacing w:val="-2"/>
                      <w:sz w:val="18"/>
                      <w:szCs w:val="18"/>
                      <w:highlight w:val="none"/>
                    </w:rPr>
                    <w:t>C8</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1F708DC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b/>
                      <w:bCs/>
                      <w:color w:val="000000"/>
                      <w:sz w:val="18"/>
                      <w:szCs w:val="18"/>
                      <w:highlight w:val="none"/>
                    </w:rPr>
                  </w:pPr>
                  <w:r>
                    <w:rPr>
                      <w:rFonts w:ascii="Times New Roman" w:hAnsi="Times New Roman" w:eastAsia="Times New Roman" w:cs="Times New Roman"/>
                      <w:b/>
                      <w:bCs/>
                      <w:color w:val="000000"/>
                      <w:spacing w:val="-1"/>
                      <w:sz w:val="18"/>
                      <w:szCs w:val="18"/>
                      <w:highlight w:val="none"/>
                    </w:rPr>
                    <w:t>24</w:t>
                  </w:r>
                  <w:r>
                    <w:rPr>
                      <w:rFonts w:ascii="Times New Roman" w:hAnsi="Times New Roman" w:eastAsia="Times New Roman" w:cs="Times New Roman"/>
                      <w:b/>
                      <w:bCs/>
                      <w:color w:val="000000"/>
                      <w:sz w:val="18"/>
                      <w:szCs w:val="18"/>
                      <w:highlight w:val="none"/>
                    </w:rPr>
                    <w:t>3</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5B4B2943">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b/>
                      <w:bCs/>
                      <w:color w:val="000000"/>
                      <w:sz w:val="18"/>
                      <w:szCs w:val="18"/>
                      <w:highlight w:val="none"/>
                    </w:rPr>
                  </w:pPr>
                  <w:r>
                    <w:rPr>
                      <w:rFonts w:ascii="Times New Roman" w:hAnsi="Times New Roman" w:eastAsia="Times New Roman" w:cs="Times New Roman"/>
                      <w:b/>
                      <w:bCs/>
                      <w:color w:val="000000"/>
                      <w:spacing w:val="-2"/>
                      <w:sz w:val="18"/>
                      <w:szCs w:val="18"/>
                      <w:highlight w:val="none"/>
                    </w:rPr>
                    <w:t>548</w:t>
                  </w:r>
                </w:p>
              </w:tc>
              <w:tc>
                <w:tcPr>
                  <w:tcW w:w="2017" w:type="pct"/>
                  <w:tcBorders>
                    <w:top w:val="single" w:color="000000" w:sz="4" w:space="0"/>
                    <w:left w:val="single" w:color="000000" w:sz="4" w:space="0"/>
                    <w:bottom w:val="single" w:color="000000" w:sz="4" w:space="0"/>
                  </w:tcBorders>
                  <w:noWrap w:val="0"/>
                  <w:vAlign w:val="center"/>
                </w:tcPr>
                <w:p w14:paraId="79CE2AD3">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宋体" w:hAnsi="宋体" w:eastAsia="宋体" w:cs="宋体"/>
                      <w:b/>
                      <w:bCs/>
                      <w:color w:val="000000"/>
                      <w:sz w:val="18"/>
                      <w:szCs w:val="18"/>
                      <w:highlight w:val="none"/>
                    </w:rPr>
                  </w:pPr>
                  <w:r>
                    <w:rPr>
                      <w:rFonts w:ascii="宋体" w:hAnsi="宋体" w:eastAsia="宋体" w:cs="宋体"/>
                      <w:b/>
                      <w:bCs/>
                      <w:color w:val="000000"/>
                      <w:spacing w:val="2"/>
                      <w:sz w:val="18"/>
                      <w:szCs w:val="18"/>
                      <w:highlight w:val="none"/>
                    </w:rPr>
                    <w:t>元昌</w:t>
                  </w:r>
                  <w:r>
                    <w:rPr>
                      <w:rFonts w:ascii="宋体" w:hAnsi="宋体" w:eastAsia="宋体" w:cs="宋体"/>
                      <w:b/>
                      <w:bCs/>
                      <w:color w:val="000000"/>
                      <w:spacing w:val="1"/>
                      <w:sz w:val="18"/>
                      <w:szCs w:val="18"/>
                      <w:highlight w:val="none"/>
                    </w:rPr>
                    <w:t>(</w:t>
                  </w:r>
                  <w:r>
                    <w:rPr>
                      <w:rFonts w:ascii="Times New Roman" w:hAnsi="Times New Roman" w:eastAsia="Times New Roman" w:cs="Times New Roman"/>
                      <w:b/>
                      <w:bCs/>
                      <w:color w:val="000000"/>
                      <w:spacing w:val="1"/>
                      <w:sz w:val="18"/>
                      <w:szCs w:val="18"/>
                      <w:highlight w:val="none"/>
                    </w:rPr>
                    <w:t>600</w:t>
                  </w:r>
                  <w:r>
                    <w:rPr>
                      <w:rFonts w:ascii="宋体" w:hAnsi="宋体" w:eastAsia="宋体" w:cs="宋体"/>
                      <w:b/>
                      <w:bCs/>
                      <w:color w:val="000000"/>
                      <w:spacing w:val="1"/>
                      <w:sz w:val="18"/>
                      <w:szCs w:val="18"/>
                      <w:highlight w:val="none"/>
                    </w:rPr>
                    <w:t>万吨</w:t>
                  </w:r>
                  <w:r>
                    <w:rPr>
                      <w:rFonts w:ascii="Times New Roman" w:hAnsi="Times New Roman" w:eastAsia="Times New Roman" w:cs="Times New Roman"/>
                      <w:b/>
                      <w:bCs/>
                      <w:color w:val="000000"/>
                      <w:spacing w:val="1"/>
                      <w:sz w:val="18"/>
                      <w:szCs w:val="18"/>
                      <w:highlight w:val="none"/>
                    </w:rPr>
                    <w:t>/</w:t>
                  </w:r>
                  <w:r>
                    <w:rPr>
                      <w:rFonts w:ascii="宋体" w:hAnsi="宋体" w:eastAsia="宋体" w:cs="宋体"/>
                      <w:b/>
                      <w:bCs/>
                      <w:color w:val="000000"/>
                      <w:spacing w:val="1"/>
                      <w:sz w:val="18"/>
                      <w:szCs w:val="18"/>
                      <w:highlight w:val="none"/>
                    </w:rPr>
                    <w:t>年)、元丰</w:t>
                  </w:r>
                  <w:r>
                    <w:rPr>
                      <w:rFonts w:ascii="Times New Roman" w:hAnsi="Times New Roman" w:eastAsia="Times New Roman" w:cs="Times New Roman"/>
                      <w:b/>
                      <w:bCs/>
                      <w:color w:val="000000"/>
                      <w:spacing w:val="1"/>
                      <w:sz w:val="18"/>
                      <w:szCs w:val="18"/>
                      <w:highlight w:val="none"/>
                    </w:rPr>
                    <w:t>3</w:t>
                  </w:r>
                  <w:r>
                    <w:rPr>
                      <w:rFonts w:ascii="宋体" w:hAnsi="宋体" w:eastAsia="宋体" w:cs="宋体"/>
                      <w:b/>
                      <w:bCs/>
                      <w:color w:val="000000"/>
                      <w:spacing w:val="1"/>
                      <w:sz w:val="18"/>
                      <w:szCs w:val="18"/>
                      <w:highlight w:val="none"/>
                    </w:rPr>
                    <w:t>号</w:t>
                  </w:r>
                  <w:r>
                    <w:rPr>
                      <w:rFonts w:ascii="宋体" w:hAnsi="宋体" w:eastAsia="宋体" w:cs="宋体"/>
                      <w:b/>
                      <w:bCs/>
                      <w:color w:val="000000"/>
                      <w:spacing w:val="12"/>
                      <w:sz w:val="18"/>
                      <w:szCs w:val="18"/>
                      <w:highlight w:val="none"/>
                    </w:rPr>
                    <w:t>线</w:t>
                  </w:r>
                  <w:r>
                    <w:rPr>
                      <w:rFonts w:ascii="宋体" w:hAnsi="宋体" w:eastAsia="宋体" w:cs="宋体"/>
                      <w:b/>
                      <w:bCs/>
                      <w:color w:val="000000"/>
                      <w:spacing w:val="8"/>
                      <w:sz w:val="18"/>
                      <w:szCs w:val="18"/>
                      <w:highlight w:val="none"/>
                    </w:rPr>
                    <w:t>(</w:t>
                  </w:r>
                  <w:r>
                    <w:rPr>
                      <w:rFonts w:ascii="Times New Roman" w:hAnsi="Times New Roman" w:eastAsia="Times New Roman" w:cs="Times New Roman"/>
                      <w:b/>
                      <w:bCs/>
                      <w:color w:val="000000"/>
                      <w:spacing w:val="6"/>
                      <w:sz w:val="18"/>
                      <w:szCs w:val="18"/>
                      <w:highlight w:val="none"/>
                    </w:rPr>
                    <w:t>150</w:t>
                  </w:r>
                  <w:r>
                    <w:rPr>
                      <w:rFonts w:ascii="宋体" w:hAnsi="宋体" w:eastAsia="宋体" w:cs="宋体"/>
                      <w:b/>
                      <w:bCs/>
                      <w:color w:val="000000"/>
                      <w:spacing w:val="6"/>
                      <w:sz w:val="18"/>
                      <w:szCs w:val="18"/>
                      <w:highlight w:val="none"/>
                    </w:rPr>
                    <w:t>万吨</w:t>
                  </w:r>
                  <w:r>
                    <w:rPr>
                      <w:rFonts w:ascii="Times New Roman" w:hAnsi="Times New Roman" w:eastAsia="Times New Roman" w:cs="Times New Roman"/>
                      <w:b/>
                      <w:bCs/>
                      <w:color w:val="000000"/>
                      <w:spacing w:val="6"/>
                      <w:sz w:val="18"/>
                      <w:szCs w:val="18"/>
                      <w:highlight w:val="none"/>
                    </w:rPr>
                    <w:t>/</w:t>
                  </w:r>
                  <w:r>
                    <w:rPr>
                      <w:rFonts w:ascii="宋体" w:hAnsi="宋体" w:eastAsia="宋体" w:cs="宋体"/>
                      <w:b/>
                      <w:bCs/>
                      <w:color w:val="000000"/>
                      <w:spacing w:val="6"/>
                      <w:sz w:val="18"/>
                      <w:szCs w:val="18"/>
                      <w:highlight w:val="none"/>
                    </w:rPr>
                    <w:t>年)</w:t>
                  </w:r>
                </w:p>
              </w:tc>
            </w:tr>
            <w:tr w14:paraId="21BACEE2">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75" w:type="pct"/>
                  <w:tcBorders>
                    <w:top w:val="single" w:color="000000" w:sz="4" w:space="0"/>
                    <w:bottom w:val="single" w:color="000000" w:sz="12" w:space="0"/>
                    <w:right w:val="single" w:color="000000" w:sz="4" w:space="0"/>
                  </w:tcBorders>
                  <w:noWrap w:val="0"/>
                  <w:vAlign w:val="center"/>
                </w:tcPr>
                <w:p w14:paraId="71B9D0EE">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宋体" w:hAnsi="宋体" w:eastAsia="宋体" w:cs="宋体"/>
                      <w:color w:val="000000"/>
                      <w:sz w:val="18"/>
                      <w:szCs w:val="18"/>
                      <w:highlight w:val="none"/>
                    </w:rPr>
                  </w:pPr>
                  <w:r>
                    <w:rPr>
                      <w:rFonts w:ascii="宋体" w:hAnsi="宋体" w:eastAsia="宋体" w:cs="宋体"/>
                      <w:color w:val="000000"/>
                      <w:spacing w:val="-3"/>
                      <w:sz w:val="18"/>
                      <w:szCs w:val="18"/>
                      <w:highlight w:val="none"/>
                    </w:rPr>
                    <w:t>小计</w:t>
                  </w:r>
                </w:p>
              </w:tc>
              <w:tc>
                <w:tcPr>
                  <w:tcW w:w="1174" w:type="pct"/>
                  <w:tcBorders>
                    <w:top w:val="single" w:color="000000" w:sz="4" w:space="0"/>
                    <w:left w:val="single" w:color="000000" w:sz="4" w:space="0"/>
                    <w:bottom w:val="single" w:color="000000" w:sz="12" w:space="0"/>
                    <w:right w:val="single" w:color="000000" w:sz="4" w:space="0"/>
                  </w:tcBorders>
                  <w:noWrap w:val="0"/>
                  <w:vAlign w:val="center"/>
                </w:tcPr>
                <w:p w14:paraId="70F0C6A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1"/>
                      <w:sz w:val="18"/>
                      <w:szCs w:val="18"/>
                      <w:highlight w:val="none"/>
                    </w:rPr>
                    <w:t>4</w:t>
                  </w:r>
                  <w:r>
                    <w:rPr>
                      <w:rFonts w:ascii="Times New Roman" w:hAnsi="Times New Roman" w:eastAsia="Times New Roman" w:cs="Times New Roman"/>
                      <w:color w:val="000000"/>
                      <w:sz w:val="18"/>
                      <w:szCs w:val="18"/>
                      <w:highlight w:val="none"/>
                    </w:rPr>
                    <w:t>048</w:t>
                  </w:r>
                </w:p>
              </w:tc>
              <w:tc>
                <w:tcPr>
                  <w:tcW w:w="1131" w:type="pct"/>
                  <w:tcBorders>
                    <w:top w:val="single" w:color="000000" w:sz="4" w:space="0"/>
                    <w:left w:val="single" w:color="000000" w:sz="4" w:space="0"/>
                    <w:bottom w:val="single" w:color="000000" w:sz="12" w:space="0"/>
                    <w:right w:val="single" w:color="000000" w:sz="4" w:space="0"/>
                  </w:tcBorders>
                  <w:noWrap w:val="0"/>
                  <w:vAlign w:val="center"/>
                </w:tcPr>
                <w:p w14:paraId="53AF507F">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1"/>
                      <w:sz w:val="18"/>
                      <w:szCs w:val="18"/>
                      <w:highlight w:val="none"/>
                    </w:rPr>
                    <w:t>28</w:t>
                  </w:r>
                  <w:r>
                    <w:rPr>
                      <w:rFonts w:ascii="Times New Roman" w:hAnsi="Times New Roman" w:eastAsia="Times New Roman" w:cs="Times New Roman"/>
                      <w:color w:val="000000"/>
                      <w:sz w:val="18"/>
                      <w:szCs w:val="18"/>
                      <w:highlight w:val="none"/>
                    </w:rPr>
                    <w:t>07</w:t>
                  </w:r>
                </w:p>
              </w:tc>
              <w:tc>
                <w:tcPr>
                  <w:tcW w:w="2017" w:type="pct"/>
                  <w:tcBorders>
                    <w:top w:val="single" w:color="000000" w:sz="4" w:space="0"/>
                    <w:left w:val="single" w:color="000000" w:sz="4" w:space="0"/>
                    <w:bottom w:val="single" w:color="000000" w:sz="12" w:space="0"/>
                  </w:tcBorders>
                  <w:noWrap w:val="0"/>
                  <w:vAlign w:val="center"/>
                </w:tcPr>
                <w:p w14:paraId="5DDCCC4C">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ascii="宋体" w:hAnsi="宋体" w:eastAsia="宋体" w:cs="宋体"/>
                      <w:color w:val="000000"/>
                      <w:sz w:val="18"/>
                      <w:szCs w:val="18"/>
                      <w:highlight w:val="none"/>
                    </w:rPr>
                  </w:pPr>
                  <w:r>
                    <w:rPr>
                      <w:rFonts w:ascii="宋体" w:hAnsi="宋体" w:eastAsia="宋体" w:cs="宋体"/>
                      <w:color w:val="000000"/>
                      <w:spacing w:val="-7"/>
                      <w:sz w:val="18"/>
                      <w:szCs w:val="18"/>
                      <w:highlight w:val="none"/>
                    </w:rPr>
                    <w:t>约</w:t>
                  </w:r>
                  <w:r>
                    <w:rPr>
                      <w:rFonts w:ascii="Times New Roman" w:hAnsi="Times New Roman" w:eastAsia="Times New Roman" w:cs="Times New Roman"/>
                      <w:color w:val="000000"/>
                      <w:spacing w:val="-7"/>
                      <w:sz w:val="18"/>
                      <w:szCs w:val="18"/>
                      <w:highlight w:val="none"/>
                    </w:rPr>
                    <w:t>3</w:t>
                  </w:r>
                  <w:r>
                    <w:rPr>
                      <w:rFonts w:hint="eastAsia" w:eastAsia="宋体" w:cs="Times New Roman"/>
                      <w:color w:val="000000"/>
                      <w:spacing w:val="-7"/>
                      <w:sz w:val="18"/>
                      <w:szCs w:val="18"/>
                      <w:highlight w:val="none"/>
                      <w:lang w:val="en-US" w:eastAsia="zh-CN"/>
                    </w:rPr>
                    <w:t>4</w:t>
                  </w:r>
                  <w:r>
                    <w:rPr>
                      <w:rFonts w:ascii="Times New Roman" w:hAnsi="Times New Roman" w:eastAsia="Times New Roman" w:cs="Times New Roman"/>
                      <w:color w:val="000000"/>
                      <w:spacing w:val="-7"/>
                      <w:sz w:val="18"/>
                      <w:szCs w:val="18"/>
                      <w:highlight w:val="none"/>
                    </w:rPr>
                    <w:t>00</w:t>
                  </w:r>
                  <w:r>
                    <w:rPr>
                      <w:rFonts w:ascii="宋体" w:hAnsi="宋体" w:eastAsia="宋体" w:cs="宋体"/>
                      <w:color w:val="000000"/>
                      <w:spacing w:val="-7"/>
                      <w:sz w:val="18"/>
                      <w:szCs w:val="18"/>
                      <w:highlight w:val="none"/>
                    </w:rPr>
                    <w:t>万吨</w:t>
                  </w:r>
                  <w:r>
                    <w:rPr>
                      <w:rFonts w:ascii="Times New Roman" w:hAnsi="Times New Roman" w:eastAsia="Times New Roman" w:cs="Times New Roman"/>
                      <w:color w:val="000000"/>
                      <w:spacing w:val="-7"/>
                      <w:sz w:val="18"/>
                      <w:szCs w:val="18"/>
                      <w:highlight w:val="none"/>
                    </w:rPr>
                    <w:t>/</w:t>
                  </w:r>
                  <w:r>
                    <w:rPr>
                      <w:rFonts w:ascii="宋体" w:hAnsi="宋体" w:eastAsia="宋体" w:cs="宋体"/>
                      <w:color w:val="000000"/>
                      <w:spacing w:val="-6"/>
                      <w:sz w:val="18"/>
                      <w:szCs w:val="18"/>
                      <w:highlight w:val="none"/>
                    </w:rPr>
                    <w:t>年</w:t>
                  </w:r>
                </w:p>
              </w:tc>
            </w:tr>
          </w:tbl>
          <w:p w14:paraId="4431D66D">
            <w:pPr>
              <w:keepNext w:val="0"/>
              <w:keepLines w:val="0"/>
              <w:pageBreakBefore w:val="0"/>
              <w:widowControl w:val="0"/>
              <w:kinsoku/>
              <w:wordWrap/>
              <w:overflowPunct/>
              <w:topLinePunct w:val="0"/>
              <w:autoSpaceDE/>
              <w:autoSpaceDN/>
              <w:bidi w:val="0"/>
              <w:adjustRightInd/>
              <w:snapToGrid/>
              <w:spacing w:beforeLines="0" w:line="360" w:lineRule="auto"/>
              <w:ind w:firstLine="482" w:firstLineChars="200"/>
              <w:jc w:val="both"/>
              <w:textAlignment w:val="auto"/>
              <w:rPr>
                <w:rFonts w:hint="default" w:ascii="Times New Roman" w:hAnsi="Times New Roman" w:eastAsia="宋体" w:cs="Times New Roman"/>
                <w:b/>
                <w:bCs/>
                <w:kern w:val="2"/>
                <w:sz w:val="24"/>
                <w:szCs w:val="22"/>
                <w:lang w:val="en-US" w:eastAsia="zh-CN" w:bidi="ar-SA"/>
              </w:rPr>
            </w:pPr>
            <w:r>
              <w:rPr>
                <w:rFonts w:hint="eastAsia" w:ascii="Times New Roman" w:hAnsi="Times New Roman" w:eastAsia="宋体" w:cs="Times New Roman"/>
                <w:b/>
                <w:bCs/>
                <w:kern w:val="2"/>
                <w:sz w:val="24"/>
                <w:szCs w:val="22"/>
                <w:lang w:val="en-US" w:eastAsia="zh-CN" w:bidi="ar-SA"/>
              </w:rPr>
              <w:t>（10</w:t>
            </w:r>
            <w:r>
              <w:rPr>
                <w:rFonts w:hint="default" w:ascii="Times New Roman" w:hAnsi="Times New Roman" w:eastAsia="宋体" w:cs="Times New Roman"/>
                <w:b/>
                <w:bCs/>
                <w:kern w:val="2"/>
                <w:sz w:val="24"/>
                <w:szCs w:val="22"/>
                <w:lang w:val="en-US" w:eastAsia="zh-CN" w:bidi="ar-SA"/>
              </w:rPr>
              <w:t>）土石方平衡</w:t>
            </w:r>
          </w:p>
          <w:p w14:paraId="385B0A98">
            <w:pPr>
              <w:spacing w:line="360" w:lineRule="auto"/>
              <w:ind w:firstLineChars="200"/>
              <w:rPr>
                <w:rFonts w:hint="eastAsia"/>
                <w:sz w:val="24"/>
                <w:lang w:eastAsia="zh-CN"/>
              </w:rPr>
            </w:pPr>
            <w:r>
              <w:rPr>
                <w:rFonts w:hint="default"/>
                <w:sz w:val="24"/>
              </w:rPr>
              <w:t>为</w:t>
            </w:r>
            <w:r>
              <w:rPr>
                <w:rFonts w:hint="eastAsia"/>
                <w:sz w:val="24"/>
                <w:lang w:eastAsia="zh-CN"/>
              </w:rPr>
              <w:t>使</w:t>
            </w:r>
            <w:r>
              <w:rPr>
                <w:rFonts w:hint="default"/>
                <w:sz w:val="24"/>
              </w:rPr>
              <w:t>矿山合理、规范开发利用矿产资源</w:t>
            </w:r>
            <w:r>
              <w:rPr>
                <w:rFonts w:hint="eastAsia"/>
                <w:sz w:val="24"/>
                <w:lang w:eastAsia="zh-CN"/>
              </w:rPr>
              <w:t>，</w:t>
            </w:r>
            <w:r>
              <w:rPr>
                <w:rFonts w:hint="default"/>
                <w:sz w:val="24"/>
              </w:rPr>
              <w:t>对矿山生产活动造成的土地损毁与矿山地质环境影响</w:t>
            </w:r>
            <w:r>
              <w:rPr>
                <w:rFonts w:hint="eastAsia"/>
                <w:sz w:val="24"/>
                <w:lang w:eastAsia="zh-CN"/>
              </w:rPr>
              <w:t>进行评估，</w:t>
            </w:r>
            <w:r>
              <w:rPr>
                <w:rFonts w:hint="default"/>
                <w:sz w:val="24"/>
              </w:rPr>
              <w:t>确定土地复垦责任区和矿山地质环境保护与治理恢复分区，</w:t>
            </w:r>
            <w:r>
              <w:rPr>
                <w:rFonts w:hint="eastAsia"/>
                <w:sz w:val="24"/>
                <w:lang w:eastAsia="zh-CN"/>
              </w:rPr>
              <w:t>单位了</w:t>
            </w:r>
            <w:r>
              <w:rPr>
                <w:rFonts w:hint="default"/>
                <w:sz w:val="24"/>
              </w:rPr>
              <w:t>制定矿山地质环境保护与恢复治理与土地复垦</w:t>
            </w:r>
            <w:r>
              <w:rPr>
                <w:rFonts w:hint="eastAsia"/>
                <w:sz w:val="24"/>
                <w:lang w:eastAsia="zh-CN"/>
              </w:rPr>
              <w:t>方案。</w:t>
            </w:r>
          </w:p>
          <w:p w14:paraId="21D076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根据复垦单元的损毁程度等自身因素分析并结合土源供应状况、周边环境等外在因素，各复垦单元具体覆土标准如下：</w:t>
            </w:r>
          </w:p>
          <w:p w14:paraId="0EEE84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露天采场平台：场地内基本无土壤层和风化层，平整后对坑底进行全部覆土，覆土厚度为40cm。</w:t>
            </w:r>
          </w:p>
          <w:p w14:paraId="029AE8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露天采场边坡：露天采场边坡台阶高度15m，坡面角54.8°。根据预测，露天采场边坡占地面积为3.3750hm</w:t>
            </w:r>
            <w:r>
              <w:rPr>
                <w:rFonts w:hint="default" w:ascii="Times New Roman" w:hAnsi="Times New Roman" w:eastAsia="宋体" w:cs="Times New Roman"/>
                <w:b w:val="0"/>
                <w:color w:val="000000"/>
                <w:kern w:val="2"/>
                <w:sz w:val="24"/>
                <w:szCs w:val="24"/>
                <w:vertAlign w:val="superscript"/>
                <w:lang w:val="en-US" w:eastAsia="zh-CN" w:bidi="ar-SA"/>
              </w:rPr>
              <w:t>2</w:t>
            </w:r>
            <w:r>
              <w:rPr>
                <w:rFonts w:hint="default" w:ascii="Times New Roman" w:hAnsi="Times New Roman" w:eastAsia="宋体" w:cs="Times New Roman"/>
                <w:b w:val="0"/>
                <w:color w:val="000000"/>
                <w:kern w:val="2"/>
                <w:sz w:val="24"/>
                <w:szCs w:val="24"/>
                <w:lang w:val="en-US" w:eastAsia="zh-CN" w:bidi="ar-SA"/>
              </w:rPr>
              <w:t>，考虑到爬山虎攀爬高度问题，为能更好的实现边坡绿化，在每一级边坡中部0.5m的小分层</w:t>
            </w:r>
            <w:r>
              <w:rPr>
                <w:rFonts w:hint="default" w:ascii="Times New Roman" w:hAnsi="Times New Roman" w:eastAsia="宋体" w:cs="Times New Roman"/>
                <w:b w:val="0"/>
                <w:bCs w:val="0"/>
                <w:color w:val="000000"/>
                <w:kern w:val="2"/>
                <w:sz w:val="24"/>
                <w:szCs w:val="24"/>
                <w:lang w:val="en-US" w:eastAsia="zh-CN" w:bidi="ar-SA"/>
              </w:rPr>
              <w:t>台阶处增设一层进行覆土并种植爬山虎，并修筑封边墙，小分层台阶长度为1380～1520m，5m宽平台长度为4380m，8m宽平台长度为1480m，平台覆土厚度为30cm。坑底基本无土壤层和风化层，按照30cm的标准均匀覆土。</w:t>
            </w:r>
          </w:p>
          <w:p w14:paraId="75B67B3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矿山公路及工业场区：设计按照30cm的标准均匀覆土。</w:t>
            </w:r>
          </w:p>
          <w:p w14:paraId="1CD5FE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各地块表土需求详见表</w:t>
            </w:r>
            <w:r>
              <w:rPr>
                <w:rFonts w:hint="eastAsia" w:ascii="Times New Roman" w:hAnsi="Times New Roman" w:eastAsia="宋体" w:cs="Times New Roman"/>
                <w:b w:val="0"/>
                <w:bCs w:val="0"/>
                <w:color w:val="000000"/>
                <w:kern w:val="2"/>
                <w:sz w:val="24"/>
                <w:szCs w:val="24"/>
                <w:lang w:val="en-US" w:eastAsia="zh-CN" w:bidi="ar-SA"/>
              </w:rPr>
              <w:t>4-</w:t>
            </w:r>
            <w:r>
              <w:rPr>
                <w:rFonts w:hint="eastAsia" w:cs="Times New Roman"/>
                <w:b w:val="0"/>
                <w:bCs w:val="0"/>
                <w:color w:val="000000"/>
                <w:kern w:val="2"/>
                <w:sz w:val="24"/>
                <w:szCs w:val="24"/>
                <w:lang w:val="en-US" w:eastAsia="zh-CN" w:bidi="ar-SA"/>
              </w:rPr>
              <w:t>11</w:t>
            </w:r>
            <w:r>
              <w:rPr>
                <w:rFonts w:hint="default" w:ascii="Times New Roman" w:hAnsi="Times New Roman" w:eastAsia="宋体" w:cs="Times New Roman"/>
                <w:b w:val="0"/>
                <w:bCs w:val="0"/>
                <w:color w:val="000000"/>
                <w:kern w:val="2"/>
                <w:sz w:val="24"/>
                <w:szCs w:val="24"/>
                <w:lang w:val="en-US" w:eastAsia="zh-CN" w:bidi="ar-SA"/>
              </w:rPr>
              <w:t>。</w:t>
            </w:r>
          </w:p>
          <w:p w14:paraId="313D64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kern w:val="2"/>
                <w:sz w:val="24"/>
                <w:szCs w:val="24"/>
                <w:lang w:val="en-US" w:eastAsia="zh-CN" w:bidi="ar-SA"/>
              </w:rPr>
            </w:pPr>
          </w:p>
          <w:p w14:paraId="2139D5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kern w:val="2"/>
                <w:sz w:val="24"/>
                <w:szCs w:val="24"/>
                <w:lang w:val="en-US" w:eastAsia="zh-CN" w:bidi="ar-SA"/>
              </w:rPr>
            </w:pPr>
          </w:p>
          <w:p w14:paraId="75EAE7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kern w:val="2"/>
                <w:sz w:val="24"/>
                <w:szCs w:val="24"/>
                <w:lang w:val="en-US" w:eastAsia="zh-CN" w:bidi="ar-SA"/>
              </w:rPr>
            </w:pPr>
          </w:p>
          <w:p w14:paraId="2B81C1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表</w:t>
            </w:r>
            <w:r>
              <w:rPr>
                <w:rFonts w:hint="eastAsia" w:ascii="Times New Roman" w:hAnsi="Times New Roman" w:eastAsia="宋体" w:cs="Times New Roman"/>
                <w:b/>
                <w:bCs/>
                <w:color w:val="000000"/>
                <w:kern w:val="2"/>
                <w:sz w:val="24"/>
                <w:szCs w:val="24"/>
                <w:lang w:val="en-US" w:eastAsia="zh-CN" w:bidi="ar-SA"/>
              </w:rPr>
              <w:t>4-</w:t>
            </w:r>
            <w:r>
              <w:rPr>
                <w:rFonts w:hint="eastAsia" w:cs="Times New Roman"/>
                <w:b/>
                <w:bCs/>
                <w:color w:val="000000"/>
                <w:kern w:val="2"/>
                <w:sz w:val="24"/>
                <w:szCs w:val="24"/>
                <w:lang w:val="en-US" w:eastAsia="zh-CN" w:bidi="ar-SA"/>
              </w:rPr>
              <w:t>11</w:t>
            </w:r>
            <w:r>
              <w:rPr>
                <w:rFonts w:hint="default" w:ascii="Times New Roman" w:hAnsi="Times New Roman" w:eastAsia="宋体" w:cs="Times New Roman"/>
                <w:b/>
                <w:bCs/>
                <w:color w:val="000000"/>
                <w:kern w:val="2"/>
                <w:sz w:val="24"/>
                <w:szCs w:val="24"/>
                <w:lang w:val="en-US" w:eastAsia="zh-CN" w:bidi="ar-SA"/>
              </w:rPr>
              <w:t xml:space="preserve"> 表土需求量统计表</w:t>
            </w:r>
          </w:p>
          <w:tbl>
            <w:tblPr>
              <w:tblStyle w:val="39"/>
              <w:tblW w:w="4900"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424"/>
              <w:gridCol w:w="1283"/>
              <w:gridCol w:w="1128"/>
              <w:gridCol w:w="719"/>
              <w:gridCol w:w="1016"/>
              <w:gridCol w:w="933"/>
              <w:gridCol w:w="1202"/>
              <w:gridCol w:w="1300"/>
            </w:tblGrid>
            <w:tr w14:paraId="635CE84E">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0" w:type="pct"/>
                  <w:tcBorders>
                    <w:top w:val="single" w:color="000000" w:sz="12" w:space="0"/>
                    <w:bottom w:val="single" w:color="000000" w:sz="12" w:space="0"/>
                    <w:right w:val="single" w:color="000000" w:sz="4" w:space="0"/>
                  </w:tcBorders>
                  <w:vAlign w:val="center"/>
                </w:tcPr>
                <w:p w14:paraId="4F2243B2">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名称</w:t>
                  </w:r>
                </w:p>
              </w:tc>
              <w:tc>
                <w:tcPr>
                  <w:tcW w:w="712" w:type="pct"/>
                  <w:tcBorders>
                    <w:top w:val="single" w:color="000000" w:sz="12" w:space="0"/>
                    <w:left w:val="single" w:color="000000" w:sz="4" w:space="0"/>
                    <w:bottom w:val="single" w:color="000000" w:sz="12" w:space="0"/>
                    <w:right w:val="single" w:color="000000" w:sz="4" w:space="0"/>
                  </w:tcBorders>
                  <w:vAlign w:val="center"/>
                </w:tcPr>
                <w:p w14:paraId="10C464EA">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损毁面积（hm</w:t>
                  </w:r>
                  <w:r>
                    <w:rPr>
                      <w:rFonts w:hint="default" w:ascii="Times New Roman" w:hAnsi="Times New Roman" w:eastAsia="宋体" w:cs="Times New Roman"/>
                      <w:b w:val="0"/>
                      <w:color w:val="000000"/>
                      <w:kern w:val="2"/>
                      <w:sz w:val="18"/>
                      <w:szCs w:val="18"/>
                      <w:vertAlign w:val="superscript"/>
                      <w:lang w:val="en-US" w:eastAsia="zh-CN" w:bidi="ar-SA"/>
                    </w:rPr>
                    <w:t>2</w:t>
                  </w:r>
                  <w:r>
                    <w:rPr>
                      <w:rFonts w:hint="default" w:ascii="Times New Roman" w:hAnsi="Times New Roman" w:eastAsia="宋体" w:cs="Times New Roman"/>
                      <w:b w:val="0"/>
                      <w:color w:val="000000"/>
                      <w:kern w:val="2"/>
                      <w:sz w:val="18"/>
                      <w:szCs w:val="18"/>
                      <w:lang w:val="en-US" w:eastAsia="zh-CN" w:bidi="ar-SA"/>
                    </w:rPr>
                    <w:t>）</w:t>
                  </w:r>
                </w:p>
              </w:tc>
              <w:tc>
                <w:tcPr>
                  <w:tcW w:w="626" w:type="pct"/>
                  <w:tcBorders>
                    <w:top w:val="single" w:color="000000" w:sz="12" w:space="0"/>
                    <w:left w:val="single" w:color="000000" w:sz="4" w:space="0"/>
                    <w:bottom w:val="single" w:color="000000" w:sz="12" w:space="0"/>
                    <w:right w:val="single" w:color="000000" w:sz="4" w:space="0"/>
                  </w:tcBorders>
                  <w:vAlign w:val="center"/>
                </w:tcPr>
                <w:p w14:paraId="6FFC6CBA">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需覆土面积（hm</w:t>
                  </w:r>
                  <w:r>
                    <w:rPr>
                      <w:rFonts w:hint="default" w:ascii="Times New Roman" w:hAnsi="Times New Roman" w:eastAsia="宋体" w:cs="Times New Roman"/>
                      <w:b w:val="0"/>
                      <w:color w:val="000000"/>
                      <w:kern w:val="2"/>
                      <w:sz w:val="18"/>
                      <w:szCs w:val="18"/>
                      <w:vertAlign w:val="superscript"/>
                      <w:lang w:val="en-US" w:eastAsia="zh-CN" w:bidi="ar-SA"/>
                    </w:rPr>
                    <w:t>2</w:t>
                  </w:r>
                  <w:r>
                    <w:rPr>
                      <w:rFonts w:hint="default" w:ascii="Times New Roman" w:hAnsi="Times New Roman" w:eastAsia="宋体" w:cs="Times New Roman"/>
                      <w:b w:val="0"/>
                      <w:color w:val="000000"/>
                      <w:kern w:val="2"/>
                      <w:sz w:val="18"/>
                      <w:szCs w:val="18"/>
                      <w:lang w:val="en-US" w:eastAsia="zh-CN" w:bidi="ar-SA"/>
                    </w:rPr>
                    <w:t>）</w:t>
                  </w:r>
                </w:p>
              </w:tc>
              <w:tc>
                <w:tcPr>
                  <w:tcW w:w="399" w:type="pct"/>
                  <w:tcBorders>
                    <w:top w:val="single" w:color="000000" w:sz="12" w:space="0"/>
                    <w:left w:val="single" w:color="000000" w:sz="4" w:space="0"/>
                    <w:bottom w:val="single" w:color="000000" w:sz="12" w:space="0"/>
                    <w:right w:val="single" w:color="000000" w:sz="4" w:space="0"/>
                  </w:tcBorders>
                  <w:vAlign w:val="center"/>
                </w:tcPr>
                <w:p w14:paraId="35621F93">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复垦方向</w:t>
                  </w:r>
                </w:p>
              </w:tc>
              <w:tc>
                <w:tcPr>
                  <w:tcW w:w="564" w:type="pct"/>
                  <w:tcBorders>
                    <w:top w:val="single" w:color="000000" w:sz="12" w:space="0"/>
                    <w:left w:val="single" w:color="000000" w:sz="4" w:space="0"/>
                    <w:bottom w:val="single" w:color="000000" w:sz="12" w:space="0"/>
                    <w:right w:val="single" w:color="000000" w:sz="4" w:space="0"/>
                  </w:tcBorders>
                  <w:vAlign w:val="center"/>
                </w:tcPr>
                <w:p w14:paraId="7FF70C3E">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覆土方式</w:t>
                  </w:r>
                </w:p>
              </w:tc>
              <w:tc>
                <w:tcPr>
                  <w:tcW w:w="518" w:type="pct"/>
                  <w:tcBorders>
                    <w:top w:val="single" w:color="000000" w:sz="12" w:space="0"/>
                    <w:left w:val="single" w:color="000000" w:sz="4" w:space="0"/>
                    <w:bottom w:val="single" w:color="000000" w:sz="12" w:space="0"/>
                    <w:right w:val="single" w:color="000000" w:sz="4" w:space="0"/>
                  </w:tcBorders>
                  <w:vAlign w:val="center"/>
                </w:tcPr>
                <w:p w14:paraId="0AE8EF93">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覆土标准</w:t>
                  </w:r>
                </w:p>
              </w:tc>
              <w:tc>
                <w:tcPr>
                  <w:tcW w:w="667" w:type="pct"/>
                  <w:tcBorders>
                    <w:top w:val="single" w:color="000000" w:sz="12" w:space="0"/>
                    <w:left w:val="single" w:color="000000" w:sz="4" w:space="0"/>
                    <w:bottom w:val="single" w:color="000000" w:sz="12" w:space="0"/>
                    <w:right w:val="single" w:color="000000" w:sz="4" w:space="0"/>
                  </w:tcBorders>
                  <w:vAlign w:val="center"/>
                </w:tcPr>
                <w:p w14:paraId="37BBFCAB">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覆土量（m</w:t>
                  </w:r>
                  <w:r>
                    <w:rPr>
                      <w:rFonts w:hint="default" w:ascii="Times New Roman" w:hAnsi="Times New Roman" w:eastAsia="宋体" w:cs="Times New Roman"/>
                      <w:b w:val="0"/>
                      <w:color w:val="000000"/>
                      <w:kern w:val="2"/>
                      <w:sz w:val="18"/>
                      <w:szCs w:val="18"/>
                      <w:vertAlign w:val="superscript"/>
                      <w:lang w:val="en-US" w:eastAsia="zh-CN" w:bidi="ar-SA"/>
                    </w:rPr>
                    <w:t>3</w:t>
                  </w:r>
                  <w:r>
                    <w:rPr>
                      <w:rFonts w:hint="default" w:ascii="Times New Roman" w:hAnsi="Times New Roman" w:eastAsia="宋体" w:cs="Times New Roman"/>
                      <w:b w:val="0"/>
                      <w:color w:val="000000"/>
                      <w:kern w:val="2"/>
                      <w:sz w:val="18"/>
                      <w:szCs w:val="18"/>
                      <w:lang w:val="en-US" w:eastAsia="zh-CN" w:bidi="ar-SA"/>
                    </w:rPr>
                    <w:t>）</w:t>
                  </w:r>
                </w:p>
              </w:tc>
              <w:tc>
                <w:tcPr>
                  <w:tcW w:w="721" w:type="pct"/>
                  <w:tcBorders>
                    <w:top w:val="single" w:color="000000" w:sz="12" w:space="0"/>
                    <w:left w:val="single" w:color="000000" w:sz="4" w:space="0"/>
                    <w:bottom w:val="single" w:color="000000" w:sz="12" w:space="0"/>
                  </w:tcBorders>
                  <w:vAlign w:val="center"/>
                </w:tcPr>
                <w:p w14:paraId="2CDF2963">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矿区表土剥离量（万m</w:t>
                  </w:r>
                  <w:r>
                    <w:rPr>
                      <w:rFonts w:hint="default" w:ascii="Times New Roman" w:hAnsi="Times New Roman" w:eastAsia="宋体" w:cs="Times New Roman"/>
                      <w:b w:val="0"/>
                      <w:color w:val="000000"/>
                      <w:kern w:val="2"/>
                      <w:sz w:val="18"/>
                      <w:szCs w:val="18"/>
                      <w:vertAlign w:val="superscript"/>
                      <w:lang w:val="en-US" w:eastAsia="zh-CN" w:bidi="ar-SA"/>
                    </w:rPr>
                    <w:t>3</w:t>
                  </w:r>
                  <w:r>
                    <w:rPr>
                      <w:rFonts w:hint="default" w:ascii="Times New Roman" w:hAnsi="Times New Roman" w:eastAsia="宋体" w:cs="Times New Roman"/>
                      <w:b w:val="0"/>
                      <w:color w:val="000000"/>
                      <w:kern w:val="2"/>
                      <w:sz w:val="18"/>
                      <w:szCs w:val="18"/>
                      <w:lang w:val="en-US" w:eastAsia="zh-CN" w:bidi="ar-SA"/>
                    </w:rPr>
                    <w:t>）</w:t>
                  </w:r>
                </w:p>
              </w:tc>
            </w:tr>
            <w:tr w14:paraId="7BD7949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0" w:type="pct"/>
                  <w:tcBorders>
                    <w:top w:val="single" w:color="000000" w:sz="12" w:space="0"/>
                    <w:bottom w:val="single" w:color="000000" w:sz="4" w:space="0"/>
                    <w:right w:val="single" w:color="000000" w:sz="4" w:space="0"/>
                  </w:tcBorders>
                  <w:vAlign w:val="center"/>
                </w:tcPr>
                <w:p w14:paraId="252DCF1E">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露天采场平台</w:t>
                  </w:r>
                </w:p>
              </w:tc>
              <w:tc>
                <w:tcPr>
                  <w:tcW w:w="712" w:type="pct"/>
                  <w:tcBorders>
                    <w:top w:val="single" w:color="000000" w:sz="12" w:space="0"/>
                    <w:left w:val="single" w:color="000000" w:sz="4" w:space="0"/>
                    <w:bottom w:val="single" w:color="000000" w:sz="4" w:space="0"/>
                    <w:right w:val="single" w:color="000000" w:sz="4" w:space="0"/>
                  </w:tcBorders>
                  <w:vAlign w:val="center"/>
                </w:tcPr>
                <w:p w14:paraId="51FF5D6E">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84.8051</w:t>
                  </w:r>
                </w:p>
              </w:tc>
              <w:tc>
                <w:tcPr>
                  <w:tcW w:w="626" w:type="pct"/>
                  <w:tcBorders>
                    <w:top w:val="single" w:color="000000" w:sz="12" w:space="0"/>
                    <w:left w:val="single" w:color="000000" w:sz="4" w:space="0"/>
                    <w:bottom w:val="single" w:color="000000" w:sz="4" w:space="0"/>
                    <w:right w:val="single" w:color="000000" w:sz="4" w:space="0"/>
                  </w:tcBorders>
                  <w:vAlign w:val="center"/>
                </w:tcPr>
                <w:p w14:paraId="05DE2331">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84.8051</w:t>
                  </w:r>
                </w:p>
              </w:tc>
              <w:tc>
                <w:tcPr>
                  <w:tcW w:w="399" w:type="pct"/>
                  <w:tcBorders>
                    <w:top w:val="single" w:color="000000" w:sz="12" w:space="0"/>
                    <w:left w:val="single" w:color="000000" w:sz="4" w:space="0"/>
                    <w:bottom w:val="single" w:color="000000" w:sz="4" w:space="0"/>
                    <w:right w:val="single" w:color="000000" w:sz="4" w:space="0"/>
                  </w:tcBorders>
                  <w:vAlign w:val="center"/>
                </w:tcPr>
                <w:p w14:paraId="005D9AF0">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林地</w:t>
                  </w:r>
                </w:p>
              </w:tc>
              <w:tc>
                <w:tcPr>
                  <w:tcW w:w="564" w:type="pct"/>
                  <w:tcBorders>
                    <w:top w:val="single" w:color="000000" w:sz="12" w:space="0"/>
                    <w:left w:val="single" w:color="000000" w:sz="4" w:space="0"/>
                    <w:bottom w:val="single" w:color="000000" w:sz="4" w:space="0"/>
                    <w:right w:val="single" w:color="000000" w:sz="4" w:space="0"/>
                  </w:tcBorders>
                  <w:vAlign w:val="center"/>
                </w:tcPr>
                <w:p w14:paraId="68016B4E">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全面覆土</w:t>
                  </w:r>
                </w:p>
              </w:tc>
              <w:tc>
                <w:tcPr>
                  <w:tcW w:w="518" w:type="pct"/>
                  <w:tcBorders>
                    <w:top w:val="single" w:color="000000" w:sz="12" w:space="0"/>
                    <w:left w:val="single" w:color="000000" w:sz="4" w:space="0"/>
                    <w:bottom w:val="single" w:color="000000" w:sz="4" w:space="0"/>
                    <w:right w:val="single" w:color="000000" w:sz="4" w:space="0"/>
                  </w:tcBorders>
                  <w:vAlign w:val="center"/>
                </w:tcPr>
                <w:p w14:paraId="24502AF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30cm</w:t>
                  </w:r>
                </w:p>
              </w:tc>
              <w:tc>
                <w:tcPr>
                  <w:tcW w:w="667" w:type="pct"/>
                  <w:tcBorders>
                    <w:top w:val="single" w:color="000000" w:sz="12" w:space="0"/>
                    <w:left w:val="single" w:color="000000" w:sz="4" w:space="0"/>
                    <w:bottom w:val="single" w:color="000000" w:sz="4" w:space="0"/>
                    <w:right w:val="single" w:color="000000" w:sz="4" w:space="0"/>
                  </w:tcBorders>
                  <w:vAlign w:val="center"/>
                </w:tcPr>
                <w:p w14:paraId="39013A4D">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254415</w:t>
                  </w:r>
                </w:p>
              </w:tc>
              <w:tc>
                <w:tcPr>
                  <w:tcW w:w="721" w:type="pct"/>
                  <w:vMerge w:val="restart"/>
                  <w:tcBorders>
                    <w:top w:val="single" w:color="000000" w:sz="12" w:space="0"/>
                    <w:left w:val="single" w:color="000000" w:sz="4" w:space="0"/>
                    <w:bottom w:val="single" w:color="000000" w:sz="12" w:space="0"/>
                  </w:tcBorders>
                  <w:vAlign w:val="center"/>
                </w:tcPr>
                <w:p w14:paraId="264A352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229</w:t>
                  </w:r>
                </w:p>
              </w:tc>
            </w:tr>
            <w:tr w14:paraId="6D6F6939">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0" w:type="pct"/>
                  <w:tcBorders>
                    <w:top w:val="single" w:color="000000" w:sz="4" w:space="0"/>
                    <w:bottom w:val="single" w:color="000000" w:sz="4" w:space="0"/>
                    <w:right w:val="single" w:color="000000" w:sz="4" w:space="0"/>
                  </w:tcBorders>
                  <w:vAlign w:val="center"/>
                </w:tcPr>
                <w:p w14:paraId="5136D235">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露天采场边坡</w:t>
                  </w:r>
                </w:p>
              </w:tc>
              <w:tc>
                <w:tcPr>
                  <w:tcW w:w="712" w:type="pct"/>
                  <w:tcBorders>
                    <w:top w:val="single" w:color="000000" w:sz="4" w:space="0"/>
                    <w:left w:val="single" w:color="000000" w:sz="4" w:space="0"/>
                    <w:bottom w:val="single" w:color="000000" w:sz="4" w:space="0"/>
                    <w:right w:val="single" w:color="000000" w:sz="4" w:space="0"/>
                  </w:tcBorders>
                  <w:vAlign w:val="center"/>
                </w:tcPr>
                <w:p w14:paraId="01F630F4">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18.4541</w:t>
                  </w:r>
                </w:p>
              </w:tc>
              <w:tc>
                <w:tcPr>
                  <w:tcW w:w="626" w:type="pct"/>
                  <w:tcBorders>
                    <w:top w:val="single" w:color="000000" w:sz="4" w:space="0"/>
                    <w:left w:val="single" w:color="000000" w:sz="4" w:space="0"/>
                    <w:bottom w:val="single" w:color="000000" w:sz="4" w:space="0"/>
                    <w:right w:val="single" w:color="000000" w:sz="4" w:space="0"/>
                  </w:tcBorders>
                  <w:vAlign w:val="center"/>
                </w:tcPr>
                <w:p w14:paraId="7AF7A52B">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18.4541</w:t>
                  </w:r>
                </w:p>
              </w:tc>
              <w:tc>
                <w:tcPr>
                  <w:tcW w:w="399" w:type="pct"/>
                  <w:tcBorders>
                    <w:top w:val="single" w:color="000000" w:sz="4" w:space="0"/>
                    <w:left w:val="single" w:color="000000" w:sz="4" w:space="0"/>
                    <w:bottom w:val="single" w:color="000000" w:sz="4" w:space="0"/>
                    <w:right w:val="single" w:color="000000" w:sz="4" w:space="0"/>
                  </w:tcBorders>
                  <w:vAlign w:val="center"/>
                </w:tcPr>
                <w:p w14:paraId="0D35BC0D">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草地</w:t>
                  </w:r>
                </w:p>
              </w:tc>
              <w:tc>
                <w:tcPr>
                  <w:tcW w:w="564" w:type="pct"/>
                  <w:tcBorders>
                    <w:top w:val="single" w:color="000000" w:sz="4" w:space="0"/>
                    <w:left w:val="single" w:color="000000" w:sz="4" w:space="0"/>
                    <w:bottom w:val="single" w:color="000000" w:sz="4" w:space="0"/>
                    <w:right w:val="single" w:color="000000" w:sz="4" w:space="0"/>
                  </w:tcBorders>
                  <w:vAlign w:val="center"/>
                </w:tcPr>
                <w:p w14:paraId="76157270">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全面覆土</w:t>
                  </w:r>
                </w:p>
              </w:tc>
              <w:tc>
                <w:tcPr>
                  <w:tcW w:w="518" w:type="pct"/>
                  <w:tcBorders>
                    <w:top w:val="single" w:color="000000" w:sz="4" w:space="0"/>
                    <w:left w:val="single" w:color="000000" w:sz="4" w:space="0"/>
                    <w:bottom w:val="single" w:color="000000" w:sz="4" w:space="0"/>
                    <w:right w:val="single" w:color="000000" w:sz="4" w:space="0"/>
                  </w:tcBorders>
                  <w:vAlign w:val="center"/>
                </w:tcPr>
                <w:p w14:paraId="563DED2A">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30cm</w:t>
                  </w:r>
                </w:p>
              </w:tc>
              <w:tc>
                <w:tcPr>
                  <w:tcW w:w="667" w:type="pct"/>
                  <w:tcBorders>
                    <w:top w:val="single" w:color="000000" w:sz="4" w:space="0"/>
                    <w:left w:val="single" w:color="000000" w:sz="4" w:space="0"/>
                    <w:bottom w:val="single" w:color="000000" w:sz="4" w:space="0"/>
                    <w:right w:val="single" w:color="000000" w:sz="4" w:space="0"/>
                  </w:tcBorders>
                  <w:vAlign w:val="center"/>
                </w:tcPr>
                <w:p w14:paraId="61B794E1">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55362</w:t>
                  </w:r>
                </w:p>
              </w:tc>
              <w:tc>
                <w:tcPr>
                  <w:tcW w:w="721" w:type="pct"/>
                  <w:vMerge w:val="continue"/>
                  <w:tcBorders>
                    <w:top w:val="single" w:color="000000" w:sz="12" w:space="0"/>
                    <w:left w:val="single" w:color="000000" w:sz="4" w:space="0"/>
                    <w:bottom w:val="single" w:color="000000" w:sz="12" w:space="0"/>
                  </w:tcBorders>
                  <w:vAlign w:val="top"/>
                </w:tcPr>
                <w:p w14:paraId="619BF81D">
                  <w:pPr>
                    <w:keepNext w:val="0"/>
                    <w:keepLines w:val="0"/>
                    <w:pageBreakBefore w:val="0"/>
                    <w:widowControl w:val="0"/>
                    <w:kinsoku/>
                    <w:wordWrap/>
                    <w:overflowPunct/>
                    <w:topLinePunct w:val="0"/>
                    <w:autoSpaceDE/>
                    <w:autoSpaceDN/>
                    <w:bidi w:val="0"/>
                    <w:adjustRightInd/>
                    <w:snapToGrid w:val="0"/>
                    <w:spacing w:line="240" w:lineRule="auto"/>
                    <w:ind w:left="0" w:right="0" w:firstLine="0"/>
                    <w:textAlignment w:val="auto"/>
                    <w:rPr>
                      <w:rFonts w:hint="default" w:ascii="Times New Roman" w:hAnsi="Times New Roman" w:eastAsia="宋体" w:cs="Times New Roman"/>
                      <w:b w:val="0"/>
                      <w:color w:val="000000"/>
                      <w:kern w:val="2"/>
                      <w:sz w:val="18"/>
                      <w:szCs w:val="18"/>
                      <w:lang w:val="en-US" w:eastAsia="zh-CN" w:bidi="ar-SA"/>
                    </w:rPr>
                  </w:pPr>
                </w:p>
              </w:tc>
            </w:tr>
            <w:tr w14:paraId="1E02E53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0" w:type="pct"/>
                  <w:tcBorders>
                    <w:top w:val="single" w:color="000000" w:sz="4" w:space="0"/>
                    <w:bottom w:val="single" w:color="000000" w:sz="4" w:space="0"/>
                    <w:right w:val="single" w:color="000000" w:sz="4" w:space="0"/>
                  </w:tcBorders>
                  <w:vAlign w:val="center"/>
                </w:tcPr>
                <w:p w14:paraId="11339A48">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辅助生产区</w:t>
                  </w:r>
                </w:p>
              </w:tc>
              <w:tc>
                <w:tcPr>
                  <w:tcW w:w="712" w:type="pct"/>
                  <w:tcBorders>
                    <w:top w:val="single" w:color="000000" w:sz="4" w:space="0"/>
                    <w:left w:val="single" w:color="000000" w:sz="4" w:space="0"/>
                    <w:bottom w:val="single" w:color="000000" w:sz="4" w:space="0"/>
                    <w:right w:val="single" w:color="000000" w:sz="4" w:space="0"/>
                  </w:tcBorders>
                  <w:vAlign w:val="center"/>
                </w:tcPr>
                <w:p w14:paraId="703918EC">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7.7539</w:t>
                  </w:r>
                </w:p>
              </w:tc>
              <w:tc>
                <w:tcPr>
                  <w:tcW w:w="626" w:type="pct"/>
                  <w:tcBorders>
                    <w:top w:val="single" w:color="000000" w:sz="4" w:space="0"/>
                    <w:left w:val="single" w:color="000000" w:sz="4" w:space="0"/>
                    <w:bottom w:val="single" w:color="000000" w:sz="4" w:space="0"/>
                    <w:right w:val="single" w:color="000000" w:sz="4" w:space="0"/>
                  </w:tcBorders>
                  <w:vAlign w:val="center"/>
                </w:tcPr>
                <w:p w14:paraId="3632116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7.7539</w:t>
                  </w:r>
                </w:p>
              </w:tc>
              <w:tc>
                <w:tcPr>
                  <w:tcW w:w="399" w:type="pct"/>
                  <w:tcBorders>
                    <w:top w:val="single" w:color="000000" w:sz="4" w:space="0"/>
                    <w:left w:val="single" w:color="000000" w:sz="4" w:space="0"/>
                    <w:bottom w:val="single" w:color="000000" w:sz="4" w:space="0"/>
                    <w:right w:val="single" w:color="000000" w:sz="4" w:space="0"/>
                  </w:tcBorders>
                  <w:vAlign w:val="center"/>
                </w:tcPr>
                <w:p w14:paraId="78BAE754">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林地</w:t>
                  </w:r>
                </w:p>
              </w:tc>
              <w:tc>
                <w:tcPr>
                  <w:tcW w:w="564" w:type="pct"/>
                  <w:tcBorders>
                    <w:top w:val="single" w:color="000000" w:sz="4" w:space="0"/>
                    <w:left w:val="single" w:color="000000" w:sz="4" w:space="0"/>
                    <w:bottom w:val="single" w:color="000000" w:sz="4" w:space="0"/>
                    <w:right w:val="single" w:color="000000" w:sz="4" w:space="0"/>
                  </w:tcBorders>
                  <w:vAlign w:val="center"/>
                </w:tcPr>
                <w:p w14:paraId="2F7815B7">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全面覆土</w:t>
                  </w:r>
                </w:p>
              </w:tc>
              <w:tc>
                <w:tcPr>
                  <w:tcW w:w="518" w:type="pct"/>
                  <w:tcBorders>
                    <w:top w:val="single" w:color="000000" w:sz="4" w:space="0"/>
                    <w:left w:val="single" w:color="000000" w:sz="4" w:space="0"/>
                    <w:bottom w:val="single" w:color="000000" w:sz="4" w:space="0"/>
                    <w:right w:val="single" w:color="000000" w:sz="4" w:space="0"/>
                  </w:tcBorders>
                  <w:vAlign w:val="center"/>
                </w:tcPr>
                <w:p w14:paraId="4BB470F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30cm</w:t>
                  </w:r>
                </w:p>
              </w:tc>
              <w:tc>
                <w:tcPr>
                  <w:tcW w:w="667" w:type="pct"/>
                  <w:tcBorders>
                    <w:top w:val="single" w:color="000000" w:sz="4" w:space="0"/>
                    <w:left w:val="single" w:color="000000" w:sz="4" w:space="0"/>
                    <w:bottom w:val="single" w:color="000000" w:sz="4" w:space="0"/>
                    <w:right w:val="single" w:color="000000" w:sz="4" w:space="0"/>
                  </w:tcBorders>
                  <w:vAlign w:val="center"/>
                </w:tcPr>
                <w:p w14:paraId="744B3E0C">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23262</w:t>
                  </w:r>
                </w:p>
              </w:tc>
              <w:tc>
                <w:tcPr>
                  <w:tcW w:w="721" w:type="pct"/>
                  <w:vMerge w:val="continue"/>
                  <w:tcBorders>
                    <w:top w:val="single" w:color="000000" w:sz="12" w:space="0"/>
                    <w:left w:val="single" w:color="000000" w:sz="4" w:space="0"/>
                    <w:bottom w:val="single" w:color="000000" w:sz="12" w:space="0"/>
                  </w:tcBorders>
                  <w:vAlign w:val="top"/>
                </w:tcPr>
                <w:p w14:paraId="54C974FA">
                  <w:pPr>
                    <w:keepNext w:val="0"/>
                    <w:keepLines w:val="0"/>
                    <w:pageBreakBefore w:val="0"/>
                    <w:widowControl w:val="0"/>
                    <w:kinsoku/>
                    <w:wordWrap/>
                    <w:overflowPunct/>
                    <w:topLinePunct w:val="0"/>
                    <w:autoSpaceDE/>
                    <w:autoSpaceDN/>
                    <w:bidi w:val="0"/>
                    <w:adjustRightInd/>
                    <w:snapToGrid w:val="0"/>
                    <w:spacing w:line="240" w:lineRule="auto"/>
                    <w:ind w:left="0" w:right="0" w:firstLine="0"/>
                    <w:textAlignment w:val="auto"/>
                    <w:rPr>
                      <w:rFonts w:hint="default" w:ascii="Times New Roman" w:hAnsi="Times New Roman" w:eastAsia="宋体" w:cs="Times New Roman"/>
                      <w:b w:val="0"/>
                      <w:color w:val="000000"/>
                      <w:kern w:val="2"/>
                      <w:sz w:val="18"/>
                      <w:szCs w:val="18"/>
                      <w:lang w:val="en-US" w:eastAsia="zh-CN" w:bidi="ar-SA"/>
                    </w:rPr>
                  </w:pPr>
                </w:p>
              </w:tc>
            </w:tr>
            <w:tr w14:paraId="24DD1342">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0" w:type="pct"/>
                  <w:tcBorders>
                    <w:top w:val="single" w:color="000000" w:sz="4" w:space="0"/>
                    <w:bottom w:val="single" w:color="000000" w:sz="4" w:space="0"/>
                    <w:right w:val="single" w:color="000000" w:sz="4" w:space="0"/>
                  </w:tcBorders>
                  <w:vAlign w:val="center"/>
                </w:tcPr>
                <w:p w14:paraId="5AD2B67B">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矿山公路</w:t>
                  </w:r>
                </w:p>
              </w:tc>
              <w:tc>
                <w:tcPr>
                  <w:tcW w:w="712" w:type="pct"/>
                  <w:tcBorders>
                    <w:top w:val="single" w:color="000000" w:sz="4" w:space="0"/>
                    <w:left w:val="single" w:color="000000" w:sz="4" w:space="0"/>
                    <w:bottom w:val="single" w:color="000000" w:sz="4" w:space="0"/>
                    <w:right w:val="single" w:color="000000" w:sz="4" w:space="0"/>
                  </w:tcBorders>
                  <w:vAlign w:val="center"/>
                </w:tcPr>
                <w:p w14:paraId="174D783F">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3.5114</w:t>
                  </w:r>
                </w:p>
              </w:tc>
              <w:tc>
                <w:tcPr>
                  <w:tcW w:w="626" w:type="pct"/>
                  <w:tcBorders>
                    <w:top w:val="single" w:color="000000" w:sz="4" w:space="0"/>
                    <w:left w:val="single" w:color="000000" w:sz="4" w:space="0"/>
                    <w:bottom w:val="single" w:color="000000" w:sz="4" w:space="0"/>
                    <w:right w:val="single" w:color="000000" w:sz="4" w:space="0"/>
                  </w:tcBorders>
                  <w:vAlign w:val="center"/>
                </w:tcPr>
                <w:p w14:paraId="52F60BD5">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3.5114</w:t>
                  </w:r>
                </w:p>
              </w:tc>
              <w:tc>
                <w:tcPr>
                  <w:tcW w:w="399" w:type="pct"/>
                  <w:tcBorders>
                    <w:top w:val="single" w:color="000000" w:sz="4" w:space="0"/>
                    <w:left w:val="single" w:color="000000" w:sz="4" w:space="0"/>
                    <w:bottom w:val="single" w:color="000000" w:sz="4" w:space="0"/>
                    <w:right w:val="single" w:color="000000" w:sz="4" w:space="0"/>
                  </w:tcBorders>
                  <w:vAlign w:val="center"/>
                </w:tcPr>
                <w:p w14:paraId="33E837CE">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林地</w:t>
                  </w:r>
                </w:p>
              </w:tc>
              <w:tc>
                <w:tcPr>
                  <w:tcW w:w="564" w:type="pct"/>
                  <w:tcBorders>
                    <w:top w:val="single" w:color="000000" w:sz="4" w:space="0"/>
                    <w:left w:val="single" w:color="000000" w:sz="4" w:space="0"/>
                    <w:bottom w:val="single" w:color="000000" w:sz="4" w:space="0"/>
                    <w:right w:val="single" w:color="000000" w:sz="4" w:space="0"/>
                  </w:tcBorders>
                  <w:vAlign w:val="center"/>
                </w:tcPr>
                <w:p w14:paraId="100C709A">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全面覆土</w:t>
                  </w:r>
                </w:p>
              </w:tc>
              <w:tc>
                <w:tcPr>
                  <w:tcW w:w="518" w:type="pct"/>
                  <w:tcBorders>
                    <w:top w:val="single" w:color="000000" w:sz="4" w:space="0"/>
                    <w:left w:val="single" w:color="000000" w:sz="4" w:space="0"/>
                    <w:bottom w:val="single" w:color="000000" w:sz="4" w:space="0"/>
                    <w:right w:val="single" w:color="000000" w:sz="4" w:space="0"/>
                  </w:tcBorders>
                  <w:vAlign w:val="center"/>
                </w:tcPr>
                <w:p w14:paraId="264EC6BB">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30cm</w:t>
                  </w:r>
                </w:p>
              </w:tc>
              <w:tc>
                <w:tcPr>
                  <w:tcW w:w="667" w:type="pct"/>
                  <w:tcBorders>
                    <w:top w:val="single" w:color="000000" w:sz="4" w:space="0"/>
                    <w:left w:val="single" w:color="000000" w:sz="4" w:space="0"/>
                    <w:bottom w:val="single" w:color="000000" w:sz="4" w:space="0"/>
                    <w:right w:val="single" w:color="000000" w:sz="4" w:space="0"/>
                  </w:tcBorders>
                  <w:vAlign w:val="center"/>
                </w:tcPr>
                <w:p w14:paraId="546F1B81">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10534</w:t>
                  </w:r>
                </w:p>
              </w:tc>
              <w:tc>
                <w:tcPr>
                  <w:tcW w:w="721" w:type="pct"/>
                  <w:vMerge w:val="continue"/>
                  <w:tcBorders>
                    <w:top w:val="single" w:color="000000" w:sz="12" w:space="0"/>
                    <w:left w:val="single" w:color="000000" w:sz="4" w:space="0"/>
                    <w:bottom w:val="single" w:color="000000" w:sz="12" w:space="0"/>
                  </w:tcBorders>
                  <w:vAlign w:val="top"/>
                </w:tcPr>
                <w:p w14:paraId="0C845E73">
                  <w:pPr>
                    <w:keepNext w:val="0"/>
                    <w:keepLines w:val="0"/>
                    <w:pageBreakBefore w:val="0"/>
                    <w:widowControl w:val="0"/>
                    <w:kinsoku/>
                    <w:wordWrap/>
                    <w:overflowPunct/>
                    <w:topLinePunct w:val="0"/>
                    <w:autoSpaceDE/>
                    <w:autoSpaceDN/>
                    <w:bidi w:val="0"/>
                    <w:adjustRightInd/>
                    <w:snapToGrid w:val="0"/>
                    <w:spacing w:line="240" w:lineRule="auto"/>
                    <w:ind w:left="0" w:right="0" w:firstLine="0"/>
                    <w:textAlignment w:val="auto"/>
                    <w:rPr>
                      <w:rFonts w:hint="default" w:ascii="Times New Roman" w:hAnsi="Times New Roman" w:eastAsia="宋体" w:cs="Times New Roman"/>
                      <w:b w:val="0"/>
                      <w:color w:val="000000"/>
                      <w:kern w:val="2"/>
                      <w:sz w:val="18"/>
                      <w:szCs w:val="18"/>
                      <w:lang w:val="en-US" w:eastAsia="zh-CN" w:bidi="ar-SA"/>
                    </w:rPr>
                  </w:pPr>
                </w:p>
              </w:tc>
            </w:tr>
            <w:tr w14:paraId="41CAD6C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90" w:type="pct"/>
                  <w:tcBorders>
                    <w:top w:val="single" w:color="000000" w:sz="4" w:space="0"/>
                    <w:bottom w:val="single" w:color="000000" w:sz="12" w:space="0"/>
                    <w:right w:val="single" w:color="000000" w:sz="4" w:space="0"/>
                  </w:tcBorders>
                  <w:vAlign w:val="center"/>
                </w:tcPr>
                <w:p w14:paraId="34366550">
                  <w:pPr>
                    <w:pStyle w:val="45"/>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合计</w:t>
                  </w:r>
                </w:p>
              </w:tc>
              <w:tc>
                <w:tcPr>
                  <w:tcW w:w="712" w:type="pct"/>
                  <w:tcBorders>
                    <w:top w:val="single" w:color="000000" w:sz="4" w:space="0"/>
                    <w:left w:val="single" w:color="000000" w:sz="4" w:space="0"/>
                    <w:bottom w:val="single" w:color="000000" w:sz="12" w:space="0"/>
                    <w:right w:val="single" w:color="000000" w:sz="4" w:space="0"/>
                  </w:tcBorders>
                  <w:vAlign w:val="center"/>
                </w:tcPr>
                <w:p w14:paraId="608EFB97">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114.5245</w:t>
                  </w:r>
                </w:p>
              </w:tc>
              <w:tc>
                <w:tcPr>
                  <w:tcW w:w="626" w:type="pct"/>
                  <w:tcBorders>
                    <w:top w:val="single" w:color="000000" w:sz="4" w:space="0"/>
                    <w:left w:val="single" w:color="000000" w:sz="4" w:space="0"/>
                    <w:bottom w:val="single" w:color="000000" w:sz="12" w:space="0"/>
                    <w:right w:val="single" w:color="000000" w:sz="4" w:space="0"/>
                  </w:tcBorders>
                  <w:vAlign w:val="center"/>
                </w:tcPr>
                <w:p w14:paraId="4EBD7BC5">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114.5245</w:t>
                  </w:r>
                </w:p>
              </w:tc>
              <w:tc>
                <w:tcPr>
                  <w:tcW w:w="399" w:type="pct"/>
                  <w:tcBorders>
                    <w:top w:val="single" w:color="000000" w:sz="4" w:space="0"/>
                    <w:left w:val="single" w:color="000000" w:sz="4" w:space="0"/>
                    <w:bottom w:val="single" w:color="000000" w:sz="12" w:space="0"/>
                    <w:right w:val="single" w:color="000000" w:sz="4" w:space="0"/>
                  </w:tcBorders>
                  <w:vAlign w:val="center"/>
                </w:tcPr>
                <w:p w14:paraId="754C9A82">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w:t>
                  </w:r>
                </w:p>
              </w:tc>
              <w:tc>
                <w:tcPr>
                  <w:tcW w:w="564" w:type="pct"/>
                  <w:tcBorders>
                    <w:top w:val="single" w:color="000000" w:sz="4" w:space="0"/>
                    <w:left w:val="single" w:color="000000" w:sz="4" w:space="0"/>
                    <w:bottom w:val="single" w:color="000000" w:sz="12" w:space="0"/>
                    <w:right w:val="single" w:color="000000" w:sz="4" w:space="0"/>
                  </w:tcBorders>
                  <w:vAlign w:val="center"/>
                </w:tcPr>
                <w:p w14:paraId="1E1F5FA9">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w:t>
                  </w:r>
                </w:p>
              </w:tc>
              <w:tc>
                <w:tcPr>
                  <w:tcW w:w="518" w:type="pct"/>
                  <w:tcBorders>
                    <w:top w:val="single" w:color="000000" w:sz="4" w:space="0"/>
                    <w:left w:val="single" w:color="000000" w:sz="4" w:space="0"/>
                    <w:bottom w:val="single" w:color="000000" w:sz="12" w:space="0"/>
                    <w:right w:val="single" w:color="000000" w:sz="4" w:space="0"/>
                  </w:tcBorders>
                  <w:vAlign w:val="center"/>
                </w:tcPr>
                <w:p w14:paraId="52B680C2">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w:t>
                  </w:r>
                </w:p>
              </w:tc>
              <w:tc>
                <w:tcPr>
                  <w:tcW w:w="667" w:type="pct"/>
                  <w:tcBorders>
                    <w:top w:val="single" w:color="000000" w:sz="4" w:space="0"/>
                    <w:left w:val="single" w:color="000000" w:sz="4" w:space="0"/>
                    <w:bottom w:val="single" w:color="000000" w:sz="12" w:space="0"/>
                    <w:right w:val="single" w:color="000000" w:sz="4" w:space="0"/>
                  </w:tcBorders>
                  <w:vAlign w:val="center"/>
                </w:tcPr>
                <w:p w14:paraId="3C3D4C7F">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val="0"/>
                      <w:color w:val="000000"/>
                      <w:kern w:val="2"/>
                      <w:sz w:val="18"/>
                      <w:szCs w:val="18"/>
                      <w:lang w:val="en-US" w:eastAsia="zh-CN" w:bidi="ar-SA"/>
                    </w:rPr>
                  </w:pPr>
                  <w:r>
                    <w:rPr>
                      <w:rFonts w:hint="default" w:ascii="Times New Roman" w:hAnsi="Times New Roman" w:eastAsia="宋体" w:cs="Times New Roman"/>
                      <w:b w:val="0"/>
                      <w:color w:val="000000"/>
                      <w:kern w:val="2"/>
                      <w:sz w:val="18"/>
                      <w:szCs w:val="18"/>
                      <w:lang w:val="en-US" w:eastAsia="zh-CN" w:bidi="ar-SA"/>
                    </w:rPr>
                    <w:t>343574</w:t>
                  </w:r>
                </w:p>
              </w:tc>
              <w:tc>
                <w:tcPr>
                  <w:tcW w:w="721" w:type="pct"/>
                  <w:vMerge w:val="continue"/>
                  <w:tcBorders>
                    <w:top w:val="single" w:color="000000" w:sz="12" w:space="0"/>
                    <w:left w:val="single" w:color="000000" w:sz="4" w:space="0"/>
                    <w:bottom w:val="single" w:color="000000" w:sz="12" w:space="0"/>
                  </w:tcBorders>
                  <w:vAlign w:val="top"/>
                </w:tcPr>
                <w:p w14:paraId="62B856D2">
                  <w:pPr>
                    <w:keepNext w:val="0"/>
                    <w:keepLines w:val="0"/>
                    <w:pageBreakBefore w:val="0"/>
                    <w:widowControl w:val="0"/>
                    <w:kinsoku/>
                    <w:wordWrap/>
                    <w:overflowPunct/>
                    <w:topLinePunct w:val="0"/>
                    <w:autoSpaceDE/>
                    <w:autoSpaceDN/>
                    <w:bidi w:val="0"/>
                    <w:adjustRightInd/>
                    <w:snapToGrid w:val="0"/>
                    <w:spacing w:line="240" w:lineRule="auto"/>
                    <w:ind w:left="0" w:right="0" w:firstLine="0"/>
                    <w:textAlignment w:val="auto"/>
                    <w:rPr>
                      <w:rFonts w:hint="default" w:ascii="Times New Roman" w:hAnsi="Times New Roman" w:eastAsia="宋体" w:cs="Times New Roman"/>
                      <w:b w:val="0"/>
                      <w:color w:val="000000"/>
                      <w:kern w:val="2"/>
                      <w:sz w:val="18"/>
                      <w:szCs w:val="18"/>
                      <w:lang w:val="en-US" w:eastAsia="zh-CN" w:bidi="ar-SA"/>
                    </w:rPr>
                  </w:pPr>
                </w:p>
              </w:tc>
            </w:tr>
          </w:tbl>
          <w:p w14:paraId="25FAEA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根据矿产资源开发利用方案设计及现场踏勘分析，该矿山表土及风化层厚度较厚，厚度0.35-8.0m，排除基岩强风化层及耕植层后预测剥离表土厚2m，剥离表土主要为露天采场区域，预测矿山剥离的可用于复垦土壤约34.4万m</w:t>
            </w:r>
            <w:r>
              <w:rPr>
                <w:rFonts w:hint="default" w:ascii="Times New Roman" w:hAnsi="Times New Roman" w:eastAsia="宋体" w:cs="Times New Roman"/>
                <w:b w:val="0"/>
                <w:color w:val="000000"/>
                <w:kern w:val="2"/>
                <w:sz w:val="24"/>
                <w:szCs w:val="24"/>
                <w:vertAlign w:val="superscript"/>
                <w:lang w:val="en-US" w:eastAsia="zh-CN" w:bidi="ar-SA"/>
              </w:rPr>
              <w:t>3</w:t>
            </w:r>
            <w:r>
              <w:rPr>
                <w:rFonts w:hint="default" w:ascii="Times New Roman" w:hAnsi="Times New Roman" w:eastAsia="宋体" w:cs="Times New Roman"/>
                <w:b w:val="0"/>
                <w:color w:val="000000"/>
                <w:kern w:val="2"/>
                <w:sz w:val="24"/>
                <w:szCs w:val="24"/>
                <w:lang w:val="en-US" w:eastAsia="zh-CN" w:bidi="ar-SA"/>
              </w:rPr>
              <w:t>。部分表土部分用于周边</w:t>
            </w:r>
            <w:r>
              <w:rPr>
                <w:rFonts w:hint="default" w:ascii="Times New Roman" w:hAnsi="Times New Roman" w:eastAsia="宋体" w:cs="Times New Roman"/>
                <w:b w:val="0"/>
                <w:color w:val="000000"/>
                <w:kern w:val="2"/>
                <w:sz w:val="24"/>
                <w:szCs w:val="24"/>
                <w:lang w:val="en-US" w:eastAsia="zh-CN" w:bidi="ar-SA"/>
              </w:rPr>
              <w:tab/>
            </w:r>
            <w:r>
              <w:rPr>
                <w:rFonts w:hint="default" w:ascii="Times New Roman" w:hAnsi="Times New Roman" w:eastAsia="宋体" w:cs="Times New Roman"/>
                <w:b w:val="0"/>
                <w:color w:val="000000"/>
                <w:kern w:val="2"/>
                <w:sz w:val="24"/>
                <w:szCs w:val="24"/>
                <w:lang w:val="en-US" w:eastAsia="zh-CN" w:bidi="ar-SA"/>
              </w:rPr>
              <w:t>矿山的土地复垦，部分用于周边凹陷区域造田，为边开采边复垦，矿山剥离量为229万m</w:t>
            </w:r>
            <w:r>
              <w:rPr>
                <w:rFonts w:hint="default" w:ascii="Times New Roman" w:hAnsi="Times New Roman" w:eastAsia="宋体" w:cs="Times New Roman"/>
                <w:b w:val="0"/>
                <w:color w:val="000000"/>
                <w:kern w:val="2"/>
                <w:sz w:val="24"/>
                <w:szCs w:val="24"/>
                <w:vertAlign w:val="superscript"/>
                <w:lang w:val="en-US" w:eastAsia="zh-CN" w:bidi="ar-SA"/>
              </w:rPr>
              <w:t>3</w:t>
            </w:r>
            <w:r>
              <w:rPr>
                <w:rFonts w:hint="default" w:ascii="Times New Roman" w:hAnsi="Times New Roman" w:eastAsia="宋体" w:cs="Times New Roman"/>
                <w:b w:val="0"/>
                <w:color w:val="000000"/>
                <w:kern w:val="2"/>
                <w:sz w:val="24"/>
                <w:szCs w:val="24"/>
                <w:lang w:val="en-US" w:eastAsia="zh-CN" w:bidi="ar-SA"/>
              </w:rPr>
              <w:t>，矿山剥离的表土满足复垦需求。</w:t>
            </w:r>
          </w:p>
          <w:p w14:paraId="548CF573">
            <w:pPr>
              <w:keepNext w:val="0"/>
              <w:keepLines w:val="0"/>
              <w:widowControl/>
              <w:suppressLineNumbers w:val="0"/>
              <w:jc w:val="center"/>
              <w:rPr>
                <w:rFonts w:hint="default" w:ascii="Times New Roman" w:hAnsi="Times New Roman" w:eastAsia="宋体" w:cs="Times New Roman"/>
                <w:b/>
                <w:bCs/>
                <w:color w:val="000000"/>
                <w:kern w:val="0"/>
                <w:sz w:val="24"/>
                <w:szCs w:val="24"/>
                <w:highlight w:val="none"/>
                <w:lang w:val="en-US" w:eastAsia="zh-CN" w:bidi="ar"/>
              </w:rPr>
            </w:pPr>
          </w:p>
          <w:p w14:paraId="26FC8E2D">
            <w:pPr>
              <w:pStyle w:val="2"/>
              <w:keepNext/>
              <w:keepLines/>
              <w:pageBreakBefore w:val="0"/>
              <w:widowControl w:val="0"/>
              <w:kinsoku/>
              <w:wordWrap/>
              <w:overflowPunct/>
              <w:topLinePunct w:val="0"/>
              <w:autoSpaceDE w:val="0"/>
              <w:autoSpaceDN w:val="0"/>
              <w:bidi w:val="0"/>
              <w:adjustRightInd/>
              <w:snapToGrid/>
              <w:spacing w:before="0" w:after="0" w:afterLines="50" w:line="240" w:lineRule="auto"/>
              <w:jc w:val="both"/>
              <w:textAlignment w:val="auto"/>
              <w:rPr>
                <w:rFonts w:hint="default" w:ascii="Times New Roman" w:hAnsi="Times New Roman" w:cs="Times New Roman"/>
                <w:b w:val="0"/>
                <w:sz w:val="24"/>
              </w:rPr>
            </w:pPr>
          </w:p>
        </w:tc>
      </w:tr>
      <w:tr w14:paraId="2B2E49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2"/>
            <w:tcBorders>
              <w:tl2br w:val="nil"/>
              <w:tr2bl w:val="nil"/>
            </w:tcBorders>
            <w:noWrap w:val="0"/>
            <w:vAlign w:val="center"/>
          </w:tcPr>
          <w:p w14:paraId="186130AC">
            <w:pPr>
              <w:pStyle w:val="23"/>
              <w:spacing w:line="360" w:lineRule="auto"/>
              <w:jc w:val="both"/>
              <w:rPr>
                <w:rFonts w:hint="default" w:ascii="Times New Roman" w:hAnsi="Times New Roman" w:eastAsia="宋体" w:cs="Times New Roman"/>
                <w:b/>
                <w:sz w:val="28"/>
                <w:lang w:val="en-US" w:eastAsia="zh-CN"/>
              </w:rPr>
            </w:pPr>
            <w:r>
              <w:rPr>
                <w:rFonts w:hint="eastAsia" w:cs="Times New Roman"/>
                <w:b/>
                <w:sz w:val="28"/>
                <w:lang w:val="en-US" w:eastAsia="zh-CN"/>
              </w:rPr>
              <w:t>重大变动判定</w:t>
            </w:r>
          </w:p>
          <w:p w14:paraId="0A3759E4">
            <w:pPr>
              <w:adjustRightInd w:val="0"/>
              <w:spacing w:line="360" w:lineRule="auto"/>
              <w:ind w:firstLine="480"/>
              <w:jc w:val="both"/>
              <w:rPr>
                <w:rFonts w:hint="eastAsia" w:cs="Times New Roman"/>
                <w:color w:val="000000"/>
                <w:sz w:val="24"/>
                <w:lang w:val="en-US" w:eastAsia="zh-CN"/>
              </w:rPr>
            </w:pPr>
            <w:r>
              <w:rPr>
                <w:rFonts w:hint="default" w:eastAsia="宋体" w:cs="Times New Roman"/>
                <w:color w:val="000000"/>
                <w:kern w:val="0"/>
                <w:sz w:val="24"/>
                <w:szCs w:val="24"/>
                <w:lang w:val="en-US" w:eastAsia="zh-CN" w:bidi="ar"/>
              </w:rPr>
              <w:t>项目投资</w:t>
            </w:r>
            <w:r>
              <w:rPr>
                <w:rFonts w:hint="eastAsia" w:eastAsia="宋体" w:cs="Times New Roman"/>
                <w:color w:val="000000"/>
                <w:kern w:val="0"/>
                <w:sz w:val="24"/>
                <w:szCs w:val="24"/>
                <w:lang w:val="en-US" w:eastAsia="zh-CN" w:bidi="ar"/>
              </w:rPr>
              <w:t>22067.48</w:t>
            </w:r>
            <w:r>
              <w:rPr>
                <w:rFonts w:hint="default" w:eastAsia="宋体" w:cs="Times New Roman"/>
                <w:color w:val="000000"/>
                <w:kern w:val="0"/>
                <w:sz w:val="24"/>
                <w:szCs w:val="24"/>
                <w:lang w:val="en-US" w:eastAsia="zh-CN" w:bidi="ar"/>
              </w:rPr>
              <w:t>万元，矿区采矿权出让面积1.5033</w:t>
            </w:r>
            <w:r>
              <w:rPr>
                <w:rFonts w:hint="default" w:ascii="Times New Roman" w:hAnsi="Times New Roman" w:cs="Times New Roman"/>
                <w:color w:val="000000"/>
                <w:sz w:val="24"/>
                <w:lang w:val="en-US" w:eastAsia="zh-CN"/>
              </w:rPr>
              <w:t>km</w:t>
            </w:r>
            <w:r>
              <w:rPr>
                <w:rFonts w:hint="default" w:ascii="Times New Roman" w:hAnsi="Times New Roman" w:cs="Times New Roman"/>
                <w:color w:val="000000"/>
                <w:sz w:val="24"/>
                <w:vertAlign w:val="superscript"/>
                <w:lang w:val="en-US" w:eastAsia="zh-CN"/>
              </w:rPr>
              <w:t>2</w:t>
            </w:r>
            <w:r>
              <w:rPr>
                <w:rFonts w:hint="default" w:ascii="Times New Roman" w:hAnsi="Times New Roman" w:cs="Times New Roman"/>
                <w:color w:val="000000"/>
                <w:sz w:val="24"/>
                <w:lang w:val="en-US" w:eastAsia="zh-CN"/>
              </w:rPr>
              <w:t>，产品方案为</w:t>
            </w:r>
            <w:r>
              <w:rPr>
                <w:rFonts w:hint="default" w:ascii="Times New Roman" w:hAnsi="Times New Roman" w:eastAsia="宋体" w:cs="Times New Roman"/>
                <w:color w:val="000000"/>
                <w:kern w:val="0"/>
                <w:sz w:val="24"/>
                <w:szCs w:val="24"/>
                <w:highlight w:val="none"/>
                <w:lang w:val="en-US" w:eastAsia="zh-CN" w:bidi="ar"/>
              </w:rPr>
              <w:t>饰面用花岗岩</w:t>
            </w:r>
            <w:r>
              <w:rPr>
                <w:rFonts w:hint="default" w:ascii="Times New Roman" w:hAnsi="Times New Roman" w:cs="Times New Roman"/>
                <w:color w:val="000000"/>
                <w:sz w:val="24"/>
                <w:lang w:val="en-US" w:eastAsia="zh-CN"/>
              </w:rPr>
              <w:t>，</w:t>
            </w:r>
            <w:r>
              <w:rPr>
                <w:rFonts w:hint="eastAsia" w:cs="Times New Roman"/>
                <w:color w:val="000000"/>
                <w:sz w:val="24"/>
                <w:lang w:val="en-US" w:eastAsia="zh-CN"/>
              </w:rPr>
              <w:t>开采规模</w:t>
            </w:r>
            <w:r>
              <w:rPr>
                <w:rFonts w:hint="eastAsia" w:cs="Times New Roman"/>
                <w:color w:val="000000"/>
                <w:kern w:val="0"/>
                <w:sz w:val="24"/>
                <w:szCs w:val="24"/>
                <w:lang w:val="en-US" w:eastAsia="zh-CN" w:bidi="ar"/>
              </w:rPr>
              <w:t>23万立方米</w:t>
            </w:r>
            <w:r>
              <w:rPr>
                <w:rFonts w:hint="default" w:ascii="Times New Roman" w:hAnsi="Times New Roman" w:eastAsia="宋体" w:cs="Times New Roman"/>
                <w:color w:val="000000"/>
                <w:kern w:val="0"/>
                <w:sz w:val="24"/>
                <w:szCs w:val="24"/>
                <w:lang w:val="en-US" w:eastAsia="zh-CN" w:bidi="ar"/>
              </w:rPr>
              <w:t>/年</w:t>
            </w:r>
            <w:r>
              <w:rPr>
                <w:rFonts w:hint="default" w:ascii="Times New Roman" w:hAnsi="Times New Roman" w:cs="Times New Roman"/>
                <w:color w:val="000000"/>
                <w:sz w:val="24"/>
                <w:lang w:val="en-US" w:eastAsia="zh-CN"/>
              </w:rPr>
              <w:t>。开采矿种为饰面用花岗岩，矿山服务年限为</w:t>
            </w:r>
            <w:r>
              <w:rPr>
                <w:rFonts w:hint="eastAsia" w:cs="Times New Roman"/>
                <w:color w:val="000000"/>
                <w:sz w:val="24"/>
                <w:lang w:val="en-US" w:eastAsia="zh-CN"/>
              </w:rPr>
              <w:t>25.5</w:t>
            </w:r>
            <w:r>
              <w:rPr>
                <w:rFonts w:hint="default" w:ascii="Times New Roman" w:hAnsi="Times New Roman" w:cs="Times New Roman"/>
                <w:color w:val="000000"/>
                <w:sz w:val="24"/>
                <w:lang w:val="en-US" w:eastAsia="zh-CN"/>
              </w:rPr>
              <w:t>年。矿山开采方式为露天采矿，其主体工程包括露天采场、办公生活区、矿区道路、供配电系统、供水系统及环保工程等</w:t>
            </w:r>
            <w:r>
              <w:rPr>
                <w:rFonts w:hint="eastAsia" w:cs="Times New Roman"/>
                <w:color w:val="000000"/>
                <w:sz w:val="24"/>
                <w:lang w:val="en-US" w:eastAsia="zh-CN"/>
              </w:rPr>
              <w:t>。</w:t>
            </w:r>
          </w:p>
          <w:p w14:paraId="118CC83B">
            <w:pPr>
              <w:adjustRightInd w:val="0"/>
              <w:spacing w:line="360" w:lineRule="auto"/>
              <w:ind w:firstLine="480"/>
              <w:jc w:val="both"/>
              <w:rPr>
                <w:rFonts w:hint="default" w:ascii="Times New Roman" w:hAnsi="Times New Roman" w:cs="Times New Roman"/>
                <w:sz w:val="24"/>
                <w:szCs w:val="24"/>
                <w:lang w:val="en-US" w:bidi="ar-SA"/>
              </w:rPr>
            </w:pPr>
            <w:r>
              <w:rPr>
                <w:rFonts w:hint="default" w:ascii="Times New Roman" w:hAnsi="Times New Roman" w:eastAsia="宋体" w:cs="Times New Roman"/>
                <w:color w:val="auto"/>
                <w:kern w:val="0"/>
                <w:sz w:val="24"/>
                <w:u w:val="none"/>
                <w:lang w:val="en-US" w:eastAsia="zh-CN"/>
              </w:rPr>
              <w:t>根据《中华人民共和国环境影响评价法》第二十四条“建设项目的环境影响评价文件经批准后，建设项目的性质、规模、地点、采用的生产工艺或者防治污染、防止生态破坏的措施发生重大变动的，建设单位应当重新报批建设项目的环境影响评价文件”</w:t>
            </w:r>
            <w:r>
              <w:rPr>
                <w:rFonts w:hint="default" w:ascii="Times New Roman" w:hAnsi="Times New Roman" w:cs="Times New Roman"/>
                <w:sz w:val="24"/>
                <w:szCs w:val="24"/>
                <w:lang w:val="en-US" w:eastAsia="zh-CN" w:bidi="ar-SA"/>
              </w:rPr>
              <w:t>，</w:t>
            </w:r>
            <w:r>
              <w:rPr>
                <w:rFonts w:hint="eastAsia" w:cs="Times New Roman"/>
                <w:sz w:val="24"/>
                <w:szCs w:val="24"/>
                <w:lang w:val="en-US" w:eastAsia="zh-CN" w:bidi="ar-SA"/>
              </w:rPr>
              <w:t>比对</w:t>
            </w:r>
            <w:r>
              <w:rPr>
                <w:rFonts w:hint="default" w:ascii="Times New Roman" w:hAnsi="Times New Roman" w:cs="Times New Roman"/>
                <w:sz w:val="24"/>
                <w:szCs w:val="24"/>
                <w:lang w:val="en-US" w:eastAsia="zh-CN" w:bidi="ar-SA"/>
              </w:rPr>
              <w:t>关于印发</w:t>
            </w:r>
            <w:r>
              <w:rPr>
                <w:rFonts w:hint="default" w:ascii="Times New Roman" w:hAnsi="Times New Roman" w:cs="Times New Roman"/>
                <w:sz w:val="24"/>
                <w:szCs w:val="24"/>
              </w:rPr>
              <w:t>《污染影响类建设项目重大变动清单</w:t>
            </w:r>
            <w:r>
              <w:rPr>
                <w:rFonts w:hint="default" w:ascii="Times New Roman" w:hAnsi="Times New Roman" w:cs="Times New Roman"/>
                <w:sz w:val="24"/>
                <w:szCs w:val="24"/>
                <w:lang w:eastAsia="zh-CN"/>
              </w:rPr>
              <w:t>（</w:t>
            </w:r>
            <w:r>
              <w:rPr>
                <w:rFonts w:hint="default" w:ascii="Times New Roman" w:hAnsi="Times New Roman" w:cs="Times New Roman"/>
                <w:sz w:val="24"/>
                <w:szCs w:val="24"/>
              </w:rPr>
              <w:t>试行</w:t>
            </w:r>
            <w:r>
              <w:rPr>
                <w:rFonts w:hint="default" w:ascii="Times New Roman" w:hAnsi="Times New Roman" w:cs="Times New Roman"/>
                <w:sz w:val="24"/>
                <w:szCs w:val="24"/>
                <w:lang w:eastAsia="zh-CN"/>
              </w:rPr>
              <w:t>）</w:t>
            </w:r>
            <w:r>
              <w:rPr>
                <w:rFonts w:hint="default" w:ascii="Times New Roman" w:hAnsi="Times New Roman" w:cs="Times New Roman"/>
                <w:sz w:val="24"/>
                <w:szCs w:val="24"/>
              </w:rPr>
              <w:t>》</w:t>
            </w:r>
            <w:r>
              <w:rPr>
                <w:rFonts w:hint="default" w:ascii="Times New Roman" w:hAnsi="Times New Roman" w:cs="Times New Roman"/>
                <w:sz w:val="24"/>
                <w:szCs w:val="24"/>
                <w:lang w:eastAsia="zh-CN"/>
              </w:rPr>
              <w:t>的通知</w:t>
            </w:r>
            <w:r>
              <w:rPr>
                <w:rFonts w:hint="default" w:ascii="Times New Roman" w:hAnsi="Times New Roman" w:cs="Times New Roman"/>
                <w:sz w:val="24"/>
                <w:szCs w:val="24"/>
                <w:lang w:val="en-US" w:eastAsia="zh-CN" w:bidi="ar-SA"/>
              </w:rPr>
              <w:t>（</w:t>
            </w:r>
            <w:r>
              <w:rPr>
                <w:rFonts w:hint="default" w:ascii="Times New Roman" w:hAnsi="Times New Roman" w:cs="Times New Roman"/>
                <w:sz w:val="24"/>
                <w:szCs w:val="24"/>
                <w:lang w:val="en-US" w:bidi="ar-SA"/>
              </w:rPr>
              <w:t>环办</w:t>
            </w:r>
            <w:r>
              <w:rPr>
                <w:rFonts w:hint="default" w:ascii="Times New Roman" w:hAnsi="Times New Roman" w:cs="Times New Roman"/>
                <w:sz w:val="24"/>
                <w:szCs w:val="24"/>
                <w:lang w:val="en-US" w:eastAsia="zh-CN" w:bidi="ar-SA"/>
              </w:rPr>
              <w:t>环评函〔2020〕688</w:t>
            </w:r>
            <w:r>
              <w:rPr>
                <w:rFonts w:hint="default" w:ascii="Times New Roman" w:hAnsi="Times New Roman" w:cs="Times New Roman"/>
                <w:sz w:val="24"/>
                <w:szCs w:val="24"/>
                <w:lang w:val="en-US" w:bidi="ar-SA"/>
              </w:rPr>
              <w:t>号</w:t>
            </w:r>
            <w:r>
              <w:rPr>
                <w:rFonts w:hint="default" w:ascii="Times New Roman" w:hAnsi="Times New Roman" w:cs="Times New Roman"/>
                <w:sz w:val="24"/>
                <w:szCs w:val="24"/>
                <w:lang w:val="en-US" w:eastAsia="zh-CN" w:bidi="ar-SA"/>
              </w:rPr>
              <w:t>）</w:t>
            </w:r>
            <w:r>
              <w:rPr>
                <w:rFonts w:hint="default" w:ascii="Times New Roman" w:hAnsi="Times New Roman" w:cs="Times New Roman"/>
                <w:sz w:val="24"/>
                <w:szCs w:val="24"/>
                <w:lang w:val="en-US" w:bidi="ar-SA"/>
              </w:rPr>
              <w:t>有关规定</w:t>
            </w:r>
            <w:r>
              <w:rPr>
                <w:rFonts w:hint="default" w:ascii="Times New Roman" w:hAnsi="Times New Roman" w:cs="Times New Roman"/>
                <w:sz w:val="24"/>
                <w:szCs w:val="24"/>
                <w:lang w:val="en-US" w:eastAsia="zh-CN" w:bidi="ar-SA"/>
              </w:rPr>
              <w:t>，</w:t>
            </w:r>
            <w:r>
              <w:rPr>
                <w:rFonts w:hint="default" w:ascii="Times New Roman" w:hAnsi="Times New Roman" w:cs="Times New Roman"/>
                <w:sz w:val="24"/>
                <w:szCs w:val="24"/>
                <w:lang w:val="en-US" w:bidi="ar-SA"/>
              </w:rPr>
              <w:t>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14:paraId="623016BF">
            <w:pPr>
              <w:pStyle w:val="23"/>
              <w:spacing w:line="360" w:lineRule="auto"/>
              <w:ind w:firstLine="480" w:firstLineChars="200"/>
              <w:jc w:val="both"/>
              <w:rPr>
                <w:rFonts w:hint="default" w:ascii="Times New Roman" w:hAnsi="Times New Roman" w:cs="Times New Roman"/>
                <w:b/>
                <w:sz w:val="24"/>
              </w:rPr>
            </w:pPr>
            <w:r>
              <w:rPr>
                <w:rFonts w:hint="default" w:ascii="Times New Roman" w:hAnsi="Times New Roman" w:cs="Times New Roman"/>
                <w:b w:val="0"/>
                <w:bCs/>
                <w:sz w:val="24"/>
              </w:rPr>
              <w:t>项目实际工程生产工艺、地点、规模、性质及</w:t>
            </w:r>
            <w:r>
              <w:rPr>
                <w:rFonts w:hint="default" w:ascii="Times New Roman" w:hAnsi="Times New Roman" w:cs="Times New Roman"/>
                <w:b w:val="0"/>
                <w:bCs/>
                <w:sz w:val="24"/>
                <w:lang w:val="en-US"/>
              </w:rPr>
              <w:t>环境保护措施</w:t>
            </w:r>
            <w:r>
              <w:rPr>
                <w:rFonts w:hint="default" w:ascii="Times New Roman" w:hAnsi="Times New Roman" w:cs="Times New Roman"/>
                <w:b w:val="0"/>
                <w:bCs/>
                <w:sz w:val="24"/>
              </w:rPr>
              <w:t>均无变化。</w:t>
            </w:r>
          </w:p>
        </w:tc>
      </w:tr>
      <w:tr w14:paraId="00F979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2"/>
            <w:tcBorders>
              <w:tl2br w:val="nil"/>
              <w:tr2bl w:val="nil"/>
            </w:tcBorders>
            <w:noWrap w:val="0"/>
            <w:vAlign w:val="top"/>
          </w:tcPr>
          <w:p w14:paraId="2BC6A83D">
            <w:pPr>
              <w:pStyle w:val="23"/>
              <w:spacing w:line="360" w:lineRule="auto"/>
              <w:jc w:val="both"/>
              <w:rPr>
                <w:rFonts w:hint="default" w:ascii="Times New Roman" w:hAnsi="Times New Roman" w:cs="Times New Roman"/>
                <w:b/>
                <w:sz w:val="28"/>
              </w:rPr>
            </w:pPr>
            <w:r>
              <w:rPr>
                <w:rFonts w:hint="default" w:ascii="Times New Roman" w:hAnsi="Times New Roman" w:cs="Times New Roman"/>
                <w:b/>
                <w:sz w:val="28"/>
              </w:rPr>
              <w:t>生产工艺流程</w:t>
            </w:r>
          </w:p>
          <w:p w14:paraId="650A0CB2">
            <w:pPr>
              <w:pStyle w:val="25"/>
              <w:adjustRightInd/>
              <w:snapToGrid/>
              <w:spacing w:before="0" w:beforeLines="0" w:after="60"/>
              <w:ind w:firstLine="482"/>
              <w:contextualSpacing/>
              <w:rPr>
                <w:rFonts w:hint="default" w:ascii="Times New Roman" w:hAnsi="Times New Roman" w:eastAsia="宋体" w:cs="Times New Roman"/>
                <w:b w:val="0"/>
                <w:bCs/>
                <w:sz w:val="24"/>
                <w:szCs w:val="22"/>
                <w:lang w:val="zh-CN" w:eastAsia="zh-CN" w:bidi="zh-CN"/>
              </w:rPr>
            </w:pPr>
            <w:r>
              <w:rPr>
                <w:rFonts w:hint="eastAsia" w:ascii="Times New Roman" w:hAnsi="Times New Roman" w:eastAsia="宋体" w:cs="Times New Roman"/>
                <w:bCs/>
                <w:snapToGrid w:val="0"/>
                <w:spacing w:val="0"/>
                <w:kern w:val="0"/>
                <w:position w:val="0"/>
                <w:sz w:val="24"/>
                <w:szCs w:val="24"/>
                <w:highlight w:val="none"/>
                <w:lang w:val="en-US" w:eastAsia="zh-CN" w:bidi="ar-SA"/>
              </w:rPr>
              <w:t>矿山饰面石材用花岗岩荒料生产工艺如下：开采工艺流程为“覆盖层剥离→荒料切割→荒料分离→荒料整形→荒料吊装→荒料运输”。</w:t>
            </w:r>
            <w:r>
              <w:rPr>
                <w:rFonts w:hint="default" w:ascii="Times New Roman" w:hAnsi="Times New Roman" w:eastAsia="宋体" w:cs="Times New Roman"/>
                <w:b w:val="0"/>
                <w:bCs/>
                <w:sz w:val="24"/>
                <w:szCs w:val="22"/>
                <w:lang w:val="zh-CN" w:eastAsia="zh-CN" w:bidi="zh-CN"/>
              </w:rPr>
              <w:t>：</w:t>
            </w:r>
          </w:p>
          <w:p w14:paraId="5FD697CA">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line="240" w:lineRule="auto"/>
              <w:contextualSpacing/>
              <w:jc w:val="center"/>
              <w:textAlignment w:val="auto"/>
              <w:rPr>
                <w:rFonts w:hint="default" w:ascii="Times New Roman" w:hAnsi="Times New Roman" w:eastAsia="宋体" w:cs="Times New Roman"/>
                <w:b/>
                <w:bCs/>
                <w:color w:val="000000"/>
                <w:sz w:val="24"/>
                <w:u w:val="single"/>
                <w:lang w:val="en-US"/>
              </w:rPr>
            </w:pPr>
            <w:r>
              <w:rPr>
                <w:kern w:val="0"/>
                <w:sz w:val="24"/>
                <w:szCs w:val="24"/>
                <w:highlight w:val="none"/>
              </w:rPr>
              <w:object>
                <v:shape id="_x0000_i1028" o:spt="75" type="#_x0000_t75" style="height:333.3pt;width:317.6pt;" o:ole="t" filled="f" o:preferrelative="t" stroked="f" coordsize="21600,21600">
                  <v:path/>
                  <v:fill on="f" focussize="0,0"/>
                  <v:stroke on="f"/>
                  <v:imagedata r:id="rId29" o:title=""/>
                  <o:lock v:ext="edit" aspectratio="f"/>
                  <w10:wrap type="none"/>
                  <w10:anchorlock/>
                </v:shape>
                <o:OLEObject Type="Embed" ProgID="Visio.Drawing.15" ShapeID="_x0000_i1028" DrawAspect="Content" ObjectID="_1468075728" r:id="rId28">
                  <o:LockedField>false</o:LockedField>
                </o:OLEObject>
              </w:object>
            </w:r>
          </w:p>
          <w:p w14:paraId="17B89D7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after="157" w:afterLines="50" w:line="240" w:lineRule="auto"/>
              <w:ind w:leftChars="0" w:firstLine="0" w:firstLineChars="0"/>
              <w:jc w:val="center"/>
              <w:textAlignment w:val="auto"/>
              <w:rPr>
                <w:rFonts w:hint="default" w:ascii="Times New Roman" w:hAnsi="Times New Roman" w:eastAsia="宋体" w:cs="Times New Roman"/>
                <w:b/>
                <w:bCs/>
                <w:color w:val="auto"/>
                <w:sz w:val="24"/>
                <w:szCs w:val="22"/>
                <w:vertAlign w:val="baseline"/>
                <w:lang w:val="en-US" w:eastAsia="zh-CN" w:bidi="zh-CN"/>
              </w:rPr>
            </w:pPr>
            <w:r>
              <w:rPr>
                <w:rFonts w:hint="default" w:ascii="Times New Roman" w:hAnsi="Times New Roman" w:eastAsia="宋体" w:cs="Times New Roman"/>
                <w:b/>
                <w:bCs/>
                <w:color w:val="auto"/>
                <w:sz w:val="24"/>
                <w:szCs w:val="22"/>
                <w:vertAlign w:val="baseline"/>
                <w:lang w:val="en-US" w:eastAsia="zh-CN" w:bidi="zh-CN"/>
              </w:rPr>
              <w:t>图4-</w:t>
            </w:r>
            <w:r>
              <w:rPr>
                <w:rFonts w:hint="eastAsia" w:cs="Times New Roman"/>
                <w:b/>
                <w:bCs/>
                <w:color w:val="auto"/>
                <w:sz w:val="24"/>
                <w:szCs w:val="22"/>
                <w:vertAlign w:val="baseline"/>
                <w:lang w:val="en-US" w:eastAsia="zh-CN" w:bidi="zh-CN"/>
              </w:rPr>
              <w:t>6</w:t>
            </w:r>
            <w:r>
              <w:rPr>
                <w:rFonts w:hint="default" w:ascii="Times New Roman" w:hAnsi="Times New Roman" w:eastAsia="宋体" w:cs="Times New Roman"/>
                <w:b/>
                <w:bCs/>
                <w:color w:val="auto"/>
                <w:sz w:val="24"/>
                <w:szCs w:val="22"/>
                <w:vertAlign w:val="baseline"/>
                <w:lang w:val="en-US" w:eastAsia="zh-CN" w:bidi="zh-CN"/>
              </w:rPr>
              <w:t xml:space="preserve">  项目矿石开采工艺流程及产污环节图</w:t>
            </w:r>
          </w:p>
          <w:p w14:paraId="7FB6BF3A">
            <w:pPr>
              <w:pStyle w:val="25"/>
              <w:keepNext w:val="0"/>
              <w:keepLines w:val="0"/>
              <w:pageBreakBefore w:val="0"/>
              <w:widowControl w:val="0"/>
              <w:numPr>
                <w:ilvl w:val="0"/>
                <w:numId w:val="1"/>
              </w:numPr>
              <w:kinsoku/>
              <w:wordWrap/>
              <w:overflowPunct/>
              <w:topLinePunct w:val="0"/>
              <w:autoSpaceDE/>
              <w:autoSpaceDN/>
              <w:bidi w:val="0"/>
              <w:adjustRightInd w:val="0"/>
              <w:snapToGrid w:val="0"/>
              <w:spacing w:before="157" w:beforeLines="50" w:after="60"/>
              <w:ind w:left="0" w:leftChars="0" w:firstLine="482" w:firstLineChars="200"/>
              <w:contextualSpacing/>
              <w:textAlignment w:val="auto"/>
              <w:rPr>
                <w:rFonts w:hint="default" w:ascii="Times New Roman" w:hAnsi="Times New Roman" w:eastAsia="宋体" w:cs="Times New Roman"/>
                <w:b/>
                <w:bCs/>
                <w:color w:val="000000"/>
                <w:sz w:val="24"/>
                <w:u w:val="none"/>
                <w:lang w:eastAsia="zh-CN"/>
              </w:rPr>
            </w:pPr>
            <w:r>
              <w:rPr>
                <w:rFonts w:hint="default" w:ascii="Times New Roman" w:hAnsi="Times New Roman" w:eastAsia="宋体" w:cs="Times New Roman"/>
                <w:b/>
                <w:bCs/>
                <w:color w:val="000000"/>
                <w:sz w:val="24"/>
                <w:u w:val="none"/>
                <w:lang w:eastAsia="zh-CN"/>
              </w:rPr>
              <w:t>生产工艺简述</w:t>
            </w:r>
          </w:p>
          <w:p w14:paraId="4E358294">
            <w:pPr>
              <w:keepNext w:val="0"/>
              <w:keepLines w:val="0"/>
              <w:pageBreakBefore w:val="0"/>
              <w:widowControl w:val="0"/>
              <w:kinsoku/>
              <w:wordWrap/>
              <w:overflowPunct/>
              <w:topLinePunct w:val="0"/>
              <w:autoSpaceDE/>
              <w:autoSpaceDN/>
              <w:bidi w:val="0"/>
              <w:adjustRightInd/>
              <w:snapToGrid w:val="0"/>
              <w:spacing w:line="360" w:lineRule="auto"/>
              <w:ind w:left="0" w:right="0" w:firstLine="509"/>
              <w:textAlignment w:val="auto"/>
              <w:rPr>
                <w:rFonts w:hint="default" w:ascii="Times New Roman" w:hAnsi="Times New Roman" w:eastAsia="宋体" w:cs="Times New Roman"/>
                <w:bCs/>
                <w:snapToGrid w:val="0"/>
                <w:spacing w:val="0"/>
                <w:kern w:val="0"/>
                <w:position w:val="0"/>
                <w:sz w:val="24"/>
                <w:szCs w:val="24"/>
                <w:highlight w:val="none"/>
                <w:lang w:val="en-US" w:eastAsia="zh-CN" w:bidi="ar-SA"/>
              </w:rPr>
            </w:pPr>
            <w:r>
              <w:rPr>
                <w:rFonts w:hint="eastAsia" w:ascii="Times New Roman" w:hAnsi="Times New Roman" w:eastAsia="宋体" w:cs="Times New Roman"/>
                <w:bCs/>
                <w:snapToGrid w:val="0"/>
                <w:spacing w:val="0"/>
                <w:kern w:val="0"/>
                <w:position w:val="0"/>
                <w:sz w:val="24"/>
                <w:szCs w:val="24"/>
                <w:highlight w:val="none"/>
                <w:lang w:val="en-US" w:eastAsia="zh-CN" w:bidi="ar-SA"/>
              </w:rPr>
              <w:t>（</w:t>
            </w:r>
            <w:r>
              <w:rPr>
                <w:rFonts w:hint="eastAsia" w:cs="Times New Roman"/>
                <w:bCs/>
                <w:snapToGrid w:val="0"/>
                <w:spacing w:val="0"/>
                <w:kern w:val="0"/>
                <w:position w:val="0"/>
                <w:sz w:val="24"/>
                <w:szCs w:val="24"/>
                <w:highlight w:val="none"/>
                <w:lang w:val="en-US" w:eastAsia="zh-CN" w:bidi="ar-SA"/>
              </w:rPr>
              <w:t>1</w:t>
            </w:r>
            <w:r>
              <w:rPr>
                <w:rFonts w:hint="eastAsia" w:ascii="Times New Roman" w:hAnsi="Times New Roman" w:eastAsia="宋体" w:cs="Times New Roman"/>
                <w:bCs/>
                <w:snapToGrid w:val="0"/>
                <w:spacing w:val="0"/>
                <w:kern w:val="0"/>
                <w:position w:val="0"/>
                <w:sz w:val="24"/>
                <w:szCs w:val="24"/>
                <w:highlight w:val="none"/>
                <w:lang w:val="en-US" w:eastAsia="zh-CN" w:bidi="ar-SA"/>
              </w:rPr>
              <w:t>）</w:t>
            </w:r>
            <w:r>
              <w:rPr>
                <w:rFonts w:hint="default" w:ascii="Times New Roman" w:hAnsi="Times New Roman" w:eastAsia="宋体" w:cs="Times New Roman"/>
                <w:bCs/>
                <w:snapToGrid w:val="0"/>
                <w:spacing w:val="0"/>
                <w:kern w:val="0"/>
                <w:position w:val="0"/>
                <w:sz w:val="24"/>
                <w:szCs w:val="24"/>
                <w:highlight w:val="none"/>
                <w:lang w:val="en-US" w:eastAsia="zh-CN" w:bidi="ar-SA"/>
              </w:rPr>
              <w:t>覆盖</w:t>
            </w:r>
            <w:r>
              <w:rPr>
                <w:rFonts w:hint="eastAsia" w:cs="Times New Roman"/>
                <w:bCs/>
                <w:snapToGrid w:val="0"/>
                <w:spacing w:val="0"/>
                <w:kern w:val="0"/>
                <w:position w:val="0"/>
                <w:sz w:val="24"/>
                <w:szCs w:val="24"/>
                <w:highlight w:val="none"/>
                <w:lang w:val="en-US" w:eastAsia="zh-CN" w:bidi="ar-SA"/>
              </w:rPr>
              <w:t>层</w:t>
            </w:r>
            <w:r>
              <w:rPr>
                <w:rFonts w:hint="default" w:ascii="Times New Roman" w:hAnsi="Times New Roman" w:eastAsia="宋体" w:cs="Times New Roman"/>
                <w:bCs/>
                <w:snapToGrid w:val="0"/>
                <w:spacing w:val="0"/>
                <w:kern w:val="0"/>
                <w:position w:val="0"/>
                <w:sz w:val="24"/>
                <w:szCs w:val="24"/>
                <w:highlight w:val="none"/>
                <w:lang w:val="en-US" w:eastAsia="zh-CN" w:bidi="ar-SA"/>
              </w:rPr>
              <w:t>剥离</w:t>
            </w:r>
          </w:p>
          <w:p w14:paraId="54CCE9A3">
            <w:pPr>
              <w:keepNext w:val="0"/>
              <w:keepLines w:val="0"/>
              <w:pageBreakBefore w:val="0"/>
              <w:widowControl w:val="0"/>
              <w:kinsoku/>
              <w:wordWrap/>
              <w:overflowPunct/>
              <w:topLinePunct w:val="0"/>
              <w:autoSpaceDE/>
              <w:autoSpaceDN/>
              <w:bidi w:val="0"/>
              <w:adjustRightInd/>
              <w:snapToGrid w:val="0"/>
              <w:spacing w:line="360" w:lineRule="auto"/>
              <w:ind w:left="0" w:right="0" w:firstLine="509"/>
              <w:textAlignment w:val="auto"/>
              <w:rPr>
                <w:rFonts w:hint="default" w:ascii="Times New Roman" w:hAnsi="Times New Roman" w:eastAsia="宋体" w:cs="Times New Roman"/>
                <w:bCs/>
                <w:snapToGrid w:val="0"/>
                <w:spacing w:val="0"/>
                <w:kern w:val="0"/>
                <w:position w:val="0"/>
                <w:sz w:val="24"/>
                <w:szCs w:val="24"/>
                <w:highlight w:val="none"/>
                <w:lang w:val="en-US" w:eastAsia="zh-CN" w:bidi="ar-SA"/>
              </w:rPr>
            </w:pPr>
            <w:r>
              <w:rPr>
                <w:rFonts w:hint="default" w:ascii="Times New Roman" w:hAnsi="Times New Roman" w:eastAsia="宋体" w:cs="Times New Roman"/>
                <w:bCs/>
                <w:snapToGrid w:val="0"/>
                <w:spacing w:val="0"/>
                <w:kern w:val="0"/>
                <w:position w:val="0"/>
                <w:sz w:val="24"/>
                <w:szCs w:val="24"/>
                <w:highlight w:val="none"/>
                <w:lang w:val="en-US" w:eastAsia="zh-CN" w:bidi="ar-SA"/>
              </w:rPr>
              <w:t>近地表岩石受风化作用影响，岩石物理性能有所下降，达不到饰面石材矿产相关指标要求，总体而言可分为两大类，一是强风化层，风化后的岩石呈散砂状，或发育有大量微裂隙，易破碎为散砂状，可直接判定为非矿，此类风化层主要分布于地表，长期受温差及雨水等风化作用影响而形成；二是弱风化层，此类风化层分布于地表或近地表，一般位于强风化层以下，因其受温差及雨水等风化作用影响相对较弱，或强风化层剥蚀以后导致其出露于地表，岩石尚且完整，但矿物之间、矿物内部结晶面之间，因风化作用已有所松动，导致岩石性能下降，达不到指标要求。不能满足指标要求的岩石在开采过程中应予剥离。</w:t>
            </w:r>
          </w:p>
          <w:p w14:paraId="56121EEA">
            <w:pPr>
              <w:keepNext w:val="0"/>
              <w:keepLines w:val="0"/>
              <w:pageBreakBefore w:val="0"/>
              <w:widowControl w:val="0"/>
              <w:kinsoku/>
              <w:wordWrap/>
              <w:overflowPunct/>
              <w:topLinePunct w:val="0"/>
              <w:autoSpaceDE/>
              <w:autoSpaceDN/>
              <w:bidi w:val="0"/>
              <w:adjustRightInd/>
              <w:snapToGrid w:val="0"/>
              <w:spacing w:line="360" w:lineRule="auto"/>
              <w:ind w:left="0" w:right="0" w:firstLine="509"/>
              <w:textAlignment w:val="auto"/>
              <w:rPr>
                <w:rFonts w:hint="default" w:ascii="Times New Roman" w:hAnsi="Times New Roman" w:eastAsia="宋体" w:cs="Times New Roman"/>
                <w:bCs/>
                <w:snapToGrid w:val="0"/>
                <w:spacing w:val="0"/>
                <w:kern w:val="0"/>
                <w:position w:val="0"/>
                <w:sz w:val="24"/>
                <w:szCs w:val="24"/>
                <w:highlight w:val="none"/>
                <w:lang w:val="en-US" w:eastAsia="zh-CN" w:bidi="ar-SA"/>
              </w:rPr>
            </w:pPr>
            <w:r>
              <w:rPr>
                <w:rFonts w:hint="default" w:ascii="Times New Roman" w:hAnsi="Times New Roman" w:eastAsia="宋体" w:cs="Times New Roman"/>
                <w:bCs/>
                <w:snapToGrid w:val="0"/>
                <w:spacing w:val="0"/>
                <w:kern w:val="0"/>
                <w:position w:val="0"/>
                <w:sz w:val="24"/>
                <w:szCs w:val="24"/>
                <w:highlight w:val="none"/>
                <w:lang w:val="en-US" w:eastAsia="zh-CN" w:bidi="ar-SA"/>
              </w:rPr>
              <w:t>矿区经过了多年的开采，已经形成了很多面积较大的生产或废弃的采坑。现状条件下，采坑中的风化层已经全部剥离。根据勘查线剖面、采坑及钻孔资料，C8-1区块风化层厚度2.25-51.00m，平均厚度22.77m，强风化层厚度2.25-21.60m，中风化层厚度0.00-30.26m。C8-2区块风化层厚度为0.00-51.00m，平均厚度19.06m，强风化层厚度0.0-16.00m，中风化层厚度3.25-36.44m。C8-3区块风化层厚度为0.00-51.00m，平均厚度17.00m，强风化层厚度0.0-18.00m，中风化层厚度0.00-33.74m。剥离的风化层以及固体废弃物，利用自卸汽车运送至山下砂石加工工业场地进行综合利用，不设排土场。</w:t>
            </w:r>
          </w:p>
          <w:p w14:paraId="356E86E1">
            <w:pPr>
              <w:keepNext w:val="0"/>
              <w:keepLines w:val="0"/>
              <w:pageBreakBefore w:val="0"/>
              <w:widowControl w:val="0"/>
              <w:kinsoku/>
              <w:wordWrap/>
              <w:overflowPunct/>
              <w:topLinePunct w:val="0"/>
              <w:autoSpaceDE/>
              <w:autoSpaceDN/>
              <w:bidi w:val="0"/>
              <w:adjustRightInd/>
              <w:snapToGrid w:val="0"/>
              <w:spacing w:line="360" w:lineRule="auto"/>
              <w:ind w:left="0" w:right="0" w:firstLine="509"/>
              <w:textAlignment w:val="auto"/>
              <w:rPr>
                <w:rFonts w:hint="default" w:ascii="Times New Roman" w:hAnsi="Times New Roman" w:eastAsia="宋体" w:cs="Times New Roman"/>
                <w:bCs/>
                <w:snapToGrid w:val="0"/>
                <w:spacing w:val="0"/>
                <w:kern w:val="0"/>
                <w:position w:val="0"/>
                <w:sz w:val="24"/>
                <w:szCs w:val="24"/>
                <w:highlight w:val="none"/>
                <w:lang w:val="en-US" w:eastAsia="zh-CN" w:bidi="ar-SA"/>
              </w:rPr>
            </w:pPr>
            <w:r>
              <w:rPr>
                <w:rFonts w:hint="eastAsia" w:ascii="Times New Roman" w:hAnsi="Times New Roman" w:eastAsia="宋体" w:cs="Times New Roman"/>
                <w:bCs/>
                <w:snapToGrid w:val="0"/>
                <w:spacing w:val="0"/>
                <w:kern w:val="0"/>
                <w:position w:val="0"/>
                <w:sz w:val="24"/>
                <w:szCs w:val="24"/>
                <w:highlight w:val="none"/>
                <w:lang w:val="en-US" w:eastAsia="zh-CN" w:bidi="ar-SA"/>
              </w:rPr>
              <w:t>（2）</w:t>
            </w:r>
            <w:r>
              <w:rPr>
                <w:rFonts w:hint="default" w:ascii="Times New Roman" w:hAnsi="Times New Roman" w:eastAsia="宋体" w:cs="Times New Roman"/>
                <w:bCs/>
                <w:snapToGrid w:val="0"/>
                <w:spacing w:val="0"/>
                <w:kern w:val="0"/>
                <w:position w:val="0"/>
                <w:sz w:val="24"/>
                <w:szCs w:val="24"/>
                <w:highlight w:val="none"/>
                <w:lang w:val="en-US" w:eastAsia="zh-CN" w:bidi="ar-SA"/>
              </w:rPr>
              <w:t>荒料切割</w:t>
            </w:r>
          </w:p>
          <w:p w14:paraId="6C55BEFC">
            <w:pPr>
              <w:keepNext w:val="0"/>
              <w:keepLines w:val="0"/>
              <w:pageBreakBefore w:val="0"/>
              <w:widowControl w:val="0"/>
              <w:kinsoku/>
              <w:wordWrap/>
              <w:overflowPunct/>
              <w:topLinePunct w:val="0"/>
              <w:autoSpaceDE/>
              <w:autoSpaceDN/>
              <w:bidi w:val="0"/>
              <w:adjustRightInd/>
              <w:snapToGrid w:val="0"/>
              <w:spacing w:line="360" w:lineRule="auto"/>
              <w:ind w:left="0" w:right="0" w:firstLine="509"/>
              <w:textAlignment w:val="auto"/>
              <w:rPr>
                <w:rFonts w:hint="default" w:ascii="Times New Roman" w:hAnsi="Times New Roman" w:eastAsia="宋体" w:cs="Times New Roman"/>
                <w:bCs/>
                <w:snapToGrid w:val="0"/>
                <w:spacing w:val="0"/>
                <w:kern w:val="0"/>
                <w:position w:val="0"/>
                <w:sz w:val="24"/>
                <w:szCs w:val="24"/>
                <w:highlight w:val="none"/>
                <w:lang w:val="en-US" w:eastAsia="zh-CN" w:bidi="ar-SA"/>
              </w:rPr>
            </w:pPr>
            <w:r>
              <w:rPr>
                <w:rFonts w:hint="default" w:ascii="Times New Roman" w:hAnsi="Times New Roman" w:eastAsia="宋体" w:cs="Times New Roman"/>
                <w:bCs/>
                <w:snapToGrid w:val="0"/>
                <w:spacing w:val="0"/>
                <w:kern w:val="0"/>
                <w:position w:val="0"/>
                <w:sz w:val="24"/>
                <w:szCs w:val="24"/>
                <w:highlight w:val="none"/>
                <w:lang w:val="en-US" w:eastAsia="zh-CN" w:bidi="ar-SA"/>
              </w:rPr>
              <w:t>矿山花岗岩荒料切割采用YZK-1500/2000双刀矿山机进行切割开采，切割深度1.25</w:t>
            </w:r>
            <w:r>
              <w:rPr>
                <w:rFonts w:hint="eastAsia" w:ascii="Times New Roman" w:hAnsi="Times New Roman" w:eastAsia="宋体" w:cs="Times New Roman"/>
                <w:bCs/>
                <w:snapToGrid w:val="0"/>
                <w:spacing w:val="0"/>
                <w:kern w:val="0"/>
                <w:position w:val="0"/>
                <w:sz w:val="24"/>
                <w:szCs w:val="24"/>
                <w:highlight w:val="none"/>
                <w:lang w:val="en-US" w:eastAsia="zh-CN" w:bidi="ar-SA"/>
              </w:rPr>
              <w:t>～</w:t>
            </w:r>
            <w:r>
              <w:rPr>
                <w:rFonts w:hint="default" w:ascii="Times New Roman" w:hAnsi="Times New Roman" w:eastAsia="宋体" w:cs="Times New Roman"/>
                <w:bCs/>
                <w:snapToGrid w:val="0"/>
                <w:spacing w:val="0"/>
                <w:kern w:val="0"/>
                <w:position w:val="0"/>
                <w:sz w:val="24"/>
                <w:szCs w:val="24"/>
                <w:highlight w:val="none"/>
                <w:lang w:val="en-US" w:eastAsia="zh-CN" w:bidi="ar-SA"/>
              </w:rPr>
              <w:t>1.35m，条状荒料宽度1.0m，条状荒料长度根据成荒条件，切割长度1.8</w:t>
            </w:r>
            <w:r>
              <w:rPr>
                <w:rFonts w:hint="eastAsia" w:ascii="Times New Roman" w:hAnsi="Times New Roman" w:eastAsia="宋体" w:cs="Times New Roman"/>
                <w:bCs/>
                <w:snapToGrid w:val="0"/>
                <w:spacing w:val="0"/>
                <w:kern w:val="0"/>
                <w:position w:val="0"/>
                <w:sz w:val="24"/>
                <w:szCs w:val="24"/>
                <w:highlight w:val="none"/>
                <w:lang w:val="en-US" w:eastAsia="zh-CN" w:bidi="ar-SA"/>
              </w:rPr>
              <w:t>～</w:t>
            </w:r>
            <w:r>
              <w:rPr>
                <w:rFonts w:hint="default" w:ascii="Times New Roman" w:hAnsi="Times New Roman" w:eastAsia="宋体" w:cs="Times New Roman"/>
                <w:bCs/>
                <w:snapToGrid w:val="0"/>
                <w:spacing w:val="0"/>
                <w:kern w:val="0"/>
                <w:position w:val="0"/>
                <w:sz w:val="24"/>
                <w:szCs w:val="24"/>
                <w:highlight w:val="none"/>
                <w:lang w:val="en-US" w:eastAsia="zh-CN" w:bidi="ar-SA"/>
              </w:rPr>
              <w:t>2.3m。</w:t>
            </w:r>
          </w:p>
          <w:p w14:paraId="7CBA4596">
            <w:pPr>
              <w:keepNext w:val="0"/>
              <w:keepLines w:val="0"/>
              <w:pageBreakBefore w:val="0"/>
              <w:widowControl w:val="0"/>
              <w:kinsoku/>
              <w:wordWrap/>
              <w:overflowPunct/>
              <w:topLinePunct w:val="0"/>
              <w:autoSpaceDE/>
              <w:autoSpaceDN/>
              <w:bidi w:val="0"/>
              <w:adjustRightInd/>
              <w:snapToGrid w:val="0"/>
              <w:spacing w:line="360" w:lineRule="auto"/>
              <w:ind w:left="0" w:right="0" w:firstLine="509"/>
              <w:textAlignment w:val="auto"/>
              <w:rPr>
                <w:rFonts w:hint="default" w:ascii="Times New Roman" w:hAnsi="Times New Roman" w:eastAsia="宋体" w:cs="Times New Roman"/>
                <w:bCs/>
                <w:snapToGrid w:val="0"/>
                <w:spacing w:val="0"/>
                <w:kern w:val="0"/>
                <w:position w:val="0"/>
                <w:sz w:val="24"/>
                <w:szCs w:val="24"/>
                <w:highlight w:val="none"/>
                <w:lang w:val="en-US" w:eastAsia="zh-CN" w:bidi="ar-SA"/>
              </w:rPr>
            </w:pPr>
            <w:r>
              <w:rPr>
                <w:rFonts w:hint="eastAsia" w:ascii="Times New Roman" w:hAnsi="Times New Roman" w:eastAsia="宋体" w:cs="Times New Roman"/>
                <w:bCs/>
                <w:snapToGrid w:val="0"/>
                <w:spacing w:val="0"/>
                <w:kern w:val="0"/>
                <w:position w:val="0"/>
                <w:sz w:val="24"/>
                <w:szCs w:val="24"/>
                <w:highlight w:val="none"/>
                <w:lang w:val="en-US" w:eastAsia="zh-CN" w:bidi="ar-SA"/>
              </w:rPr>
              <w:t>（3）</w:t>
            </w:r>
            <w:r>
              <w:rPr>
                <w:rFonts w:hint="default" w:ascii="Times New Roman" w:hAnsi="Times New Roman" w:eastAsia="宋体" w:cs="Times New Roman"/>
                <w:bCs/>
                <w:snapToGrid w:val="0"/>
                <w:spacing w:val="0"/>
                <w:kern w:val="0"/>
                <w:position w:val="0"/>
                <w:sz w:val="24"/>
                <w:szCs w:val="24"/>
                <w:highlight w:val="none"/>
                <w:lang w:val="en-US" w:eastAsia="zh-CN" w:bidi="ar-SA"/>
              </w:rPr>
              <w:t>荒料分离</w:t>
            </w:r>
          </w:p>
          <w:p w14:paraId="6ED4F37F">
            <w:pPr>
              <w:keepNext w:val="0"/>
              <w:keepLines w:val="0"/>
              <w:pageBreakBefore w:val="0"/>
              <w:widowControl w:val="0"/>
              <w:kinsoku/>
              <w:wordWrap/>
              <w:overflowPunct/>
              <w:topLinePunct w:val="0"/>
              <w:autoSpaceDE/>
              <w:autoSpaceDN/>
              <w:bidi w:val="0"/>
              <w:adjustRightInd/>
              <w:snapToGrid w:val="0"/>
              <w:spacing w:line="360" w:lineRule="auto"/>
              <w:ind w:left="0" w:right="0" w:firstLine="509"/>
              <w:textAlignment w:val="auto"/>
              <w:rPr>
                <w:rFonts w:hint="default" w:ascii="Times New Roman" w:hAnsi="Times New Roman" w:eastAsia="宋体" w:cs="Times New Roman"/>
                <w:bCs/>
                <w:snapToGrid w:val="0"/>
                <w:spacing w:val="0"/>
                <w:kern w:val="0"/>
                <w:position w:val="0"/>
                <w:sz w:val="24"/>
                <w:szCs w:val="24"/>
                <w:highlight w:val="none"/>
                <w:lang w:val="en-US" w:eastAsia="zh-CN" w:bidi="ar-SA"/>
              </w:rPr>
            </w:pPr>
            <w:r>
              <w:rPr>
                <w:rFonts w:hint="default" w:ascii="Times New Roman" w:hAnsi="Times New Roman" w:eastAsia="宋体" w:cs="Times New Roman"/>
                <w:bCs/>
                <w:snapToGrid w:val="0"/>
                <w:spacing w:val="0"/>
                <w:kern w:val="0"/>
                <w:position w:val="0"/>
                <w:sz w:val="24"/>
                <w:szCs w:val="24"/>
                <w:highlight w:val="none"/>
                <w:lang w:val="en-US" w:eastAsia="zh-CN" w:bidi="ar-SA"/>
              </w:rPr>
              <w:t>矿山花岗岩荒料切割后的分离，可采用金刚石串珠锯</w:t>
            </w:r>
            <w:r>
              <w:rPr>
                <w:rFonts w:hint="eastAsia" w:cs="Times New Roman"/>
                <w:bCs/>
                <w:snapToGrid w:val="0"/>
                <w:spacing w:val="0"/>
                <w:kern w:val="0"/>
                <w:position w:val="0"/>
                <w:sz w:val="24"/>
                <w:szCs w:val="24"/>
                <w:highlight w:val="none"/>
                <w:lang w:val="en-US" w:eastAsia="zh-CN" w:bidi="ar-SA"/>
              </w:rPr>
              <w:t>（</w:t>
            </w:r>
            <w:r>
              <w:rPr>
                <w:rFonts w:hint="default" w:ascii="Times New Roman" w:hAnsi="Times New Roman" w:eastAsia="宋体" w:cs="Times New Roman"/>
                <w:bCs/>
                <w:snapToGrid w:val="0"/>
                <w:spacing w:val="0"/>
                <w:kern w:val="0"/>
                <w:position w:val="0"/>
                <w:sz w:val="24"/>
                <w:szCs w:val="24"/>
                <w:highlight w:val="none"/>
                <w:lang w:val="en-US" w:eastAsia="zh-CN" w:bidi="ar-SA"/>
              </w:rPr>
              <w:t>绳锯</w:t>
            </w:r>
            <w:r>
              <w:rPr>
                <w:rFonts w:hint="eastAsia" w:cs="Times New Roman"/>
                <w:bCs/>
                <w:snapToGrid w:val="0"/>
                <w:spacing w:val="0"/>
                <w:kern w:val="0"/>
                <w:position w:val="0"/>
                <w:sz w:val="24"/>
                <w:szCs w:val="24"/>
                <w:highlight w:val="none"/>
                <w:lang w:val="en-US" w:eastAsia="zh-CN" w:bidi="ar-SA"/>
              </w:rPr>
              <w:t>）</w:t>
            </w:r>
            <w:r>
              <w:rPr>
                <w:rFonts w:hint="default" w:ascii="Times New Roman" w:hAnsi="Times New Roman" w:eastAsia="宋体" w:cs="Times New Roman"/>
                <w:bCs/>
                <w:snapToGrid w:val="0"/>
                <w:spacing w:val="0"/>
                <w:kern w:val="0"/>
                <w:position w:val="0"/>
                <w:sz w:val="24"/>
                <w:szCs w:val="24"/>
                <w:highlight w:val="none"/>
                <w:lang w:val="en-US" w:eastAsia="zh-CN" w:bidi="ar-SA"/>
              </w:rPr>
              <w:t>切割分离。</w:t>
            </w:r>
          </w:p>
          <w:p w14:paraId="7372E6BB">
            <w:pPr>
              <w:keepNext w:val="0"/>
              <w:keepLines w:val="0"/>
              <w:pageBreakBefore w:val="0"/>
              <w:widowControl w:val="0"/>
              <w:kinsoku/>
              <w:wordWrap/>
              <w:overflowPunct/>
              <w:topLinePunct w:val="0"/>
              <w:autoSpaceDE/>
              <w:autoSpaceDN/>
              <w:bidi w:val="0"/>
              <w:adjustRightInd/>
              <w:snapToGrid w:val="0"/>
              <w:spacing w:line="360" w:lineRule="auto"/>
              <w:ind w:left="0" w:right="0" w:firstLine="509"/>
              <w:textAlignment w:val="auto"/>
              <w:rPr>
                <w:rFonts w:hint="default" w:ascii="Times New Roman" w:hAnsi="Times New Roman" w:eastAsia="宋体" w:cs="Times New Roman"/>
                <w:bCs/>
                <w:snapToGrid w:val="0"/>
                <w:spacing w:val="0"/>
                <w:kern w:val="0"/>
                <w:position w:val="0"/>
                <w:sz w:val="24"/>
                <w:szCs w:val="24"/>
                <w:highlight w:val="none"/>
                <w:lang w:val="en-US" w:eastAsia="zh-CN" w:bidi="ar-SA"/>
              </w:rPr>
            </w:pPr>
            <w:r>
              <w:rPr>
                <w:rFonts w:hint="eastAsia" w:ascii="Times New Roman" w:hAnsi="Times New Roman" w:eastAsia="宋体" w:cs="Times New Roman"/>
                <w:bCs/>
                <w:snapToGrid w:val="0"/>
                <w:spacing w:val="0"/>
                <w:kern w:val="0"/>
                <w:position w:val="0"/>
                <w:sz w:val="24"/>
                <w:szCs w:val="24"/>
                <w:highlight w:val="none"/>
                <w:lang w:val="en-US" w:eastAsia="zh-CN" w:bidi="ar-SA"/>
              </w:rPr>
              <w:t>（4）</w:t>
            </w:r>
            <w:r>
              <w:rPr>
                <w:rFonts w:hint="default" w:ascii="Times New Roman" w:hAnsi="Times New Roman" w:eastAsia="宋体" w:cs="Times New Roman"/>
                <w:bCs/>
                <w:snapToGrid w:val="0"/>
                <w:spacing w:val="0"/>
                <w:kern w:val="0"/>
                <w:position w:val="0"/>
                <w:sz w:val="24"/>
                <w:szCs w:val="24"/>
                <w:highlight w:val="none"/>
                <w:lang w:val="en-US" w:eastAsia="zh-CN" w:bidi="ar-SA"/>
              </w:rPr>
              <w:t>荒料铲装</w:t>
            </w:r>
          </w:p>
          <w:p w14:paraId="2000280E">
            <w:pPr>
              <w:keepNext w:val="0"/>
              <w:keepLines w:val="0"/>
              <w:pageBreakBefore w:val="0"/>
              <w:widowControl w:val="0"/>
              <w:kinsoku/>
              <w:wordWrap/>
              <w:overflowPunct/>
              <w:topLinePunct w:val="0"/>
              <w:autoSpaceDE/>
              <w:autoSpaceDN/>
              <w:bidi w:val="0"/>
              <w:adjustRightInd/>
              <w:snapToGrid w:val="0"/>
              <w:spacing w:line="360" w:lineRule="auto"/>
              <w:ind w:right="0" w:firstLine="476" w:firstLineChars="200"/>
              <w:textAlignment w:val="auto"/>
              <w:rPr>
                <w:rFonts w:hint="default" w:ascii="Times New Roman" w:hAnsi="Times New Roman" w:eastAsia="宋体" w:cs="Times New Roman"/>
                <w:color w:val="000000"/>
                <w:spacing w:val="-1"/>
                <w:sz w:val="24"/>
                <w:szCs w:val="24"/>
                <w:highlight w:val="none"/>
                <w:lang w:val="en-US" w:eastAsia="zh-CN"/>
              </w:rPr>
            </w:pPr>
            <w:r>
              <w:rPr>
                <w:rFonts w:hint="default" w:ascii="Times New Roman" w:hAnsi="Times New Roman" w:eastAsia="宋体" w:cs="Times New Roman"/>
                <w:color w:val="000000"/>
                <w:spacing w:val="-1"/>
                <w:sz w:val="24"/>
                <w:szCs w:val="24"/>
                <w:highlight w:val="none"/>
                <w:lang w:val="en-US" w:eastAsia="zh-CN"/>
              </w:rPr>
              <w:t>切割分离后的荒料采用采用装载机铲装。</w:t>
            </w:r>
          </w:p>
          <w:p w14:paraId="4A1778D8">
            <w:pPr>
              <w:keepNext w:val="0"/>
              <w:keepLines w:val="0"/>
              <w:pageBreakBefore w:val="0"/>
              <w:widowControl w:val="0"/>
              <w:kinsoku/>
              <w:wordWrap/>
              <w:overflowPunct/>
              <w:topLinePunct w:val="0"/>
              <w:autoSpaceDE/>
              <w:autoSpaceDN/>
              <w:bidi w:val="0"/>
              <w:adjustRightInd/>
              <w:snapToGrid w:val="0"/>
              <w:spacing w:line="360" w:lineRule="auto"/>
              <w:ind w:left="0" w:right="0" w:firstLine="509"/>
              <w:textAlignment w:val="auto"/>
              <w:rPr>
                <w:rFonts w:hint="default" w:ascii="Times New Roman" w:hAnsi="Times New Roman" w:eastAsia="宋体" w:cs="Times New Roman"/>
                <w:bCs/>
                <w:snapToGrid w:val="0"/>
                <w:spacing w:val="0"/>
                <w:kern w:val="0"/>
                <w:position w:val="0"/>
                <w:sz w:val="24"/>
                <w:szCs w:val="24"/>
                <w:highlight w:val="none"/>
                <w:lang w:val="en-US" w:eastAsia="zh-CN" w:bidi="ar-SA"/>
              </w:rPr>
            </w:pPr>
            <w:r>
              <w:rPr>
                <w:rFonts w:hint="eastAsia" w:ascii="Times New Roman" w:hAnsi="Times New Roman" w:eastAsia="宋体" w:cs="Times New Roman"/>
                <w:bCs/>
                <w:snapToGrid w:val="0"/>
                <w:spacing w:val="0"/>
                <w:kern w:val="0"/>
                <w:position w:val="0"/>
                <w:sz w:val="24"/>
                <w:szCs w:val="24"/>
                <w:highlight w:val="none"/>
                <w:lang w:val="en-US" w:eastAsia="zh-CN" w:bidi="ar-SA"/>
              </w:rPr>
              <w:t>（5）</w:t>
            </w:r>
            <w:r>
              <w:rPr>
                <w:rFonts w:hint="default" w:ascii="Times New Roman" w:hAnsi="Times New Roman" w:eastAsia="宋体" w:cs="Times New Roman"/>
                <w:bCs/>
                <w:snapToGrid w:val="0"/>
                <w:spacing w:val="0"/>
                <w:kern w:val="0"/>
                <w:position w:val="0"/>
                <w:sz w:val="24"/>
                <w:szCs w:val="24"/>
                <w:highlight w:val="none"/>
                <w:lang w:val="en-US" w:eastAsia="zh-CN" w:bidi="ar-SA"/>
              </w:rPr>
              <w:t>荒料运输</w:t>
            </w:r>
          </w:p>
          <w:p w14:paraId="02224C94">
            <w:pPr>
              <w:keepNext w:val="0"/>
              <w:keepLines w:val="0"/>
              <w:pageBreakBefore w:val="0"/>
              <w:widowControl w:val="0"/>
              <w:kinsoku/>
              <w:wordWrap/>
              <w:overflowPunct/>
              <w:topLinePunct w:val="0"/>
              <w:autoSpaceDE/>
              <w:autoSpaceDN/>
              <w:bidi w:val="0"/>
              <w:adjustRightInd/>
              <w:snapToGrid w:val="0"/>
              <w:spacing w:line="360" w:lineRule="auto"/>
              <w:ind w:right="0" w:firstLine="476" w:firstLineChars="200"/>
              <w:textAlignment w:val="auto"/>
              <w:rPr>
                <w:rFonts w:hint="default" w:ascii="Times New Roman" w:hAnsi="Times New Roman" w:eastAsia="宋体" w:cs="Times New Roman"/>
                <w:color w:val="000000"/>
                <w:spacing w:val="-1"/>
                <w:sz w:val="24"/>
                <w:szCs w:val="24"/>
                <w:highlight w:val="none"/>
                <w:lang w:val="en-US" w:eastAsia="zh-CN"/>
              </w:rPr>
            </w:pPr>
            <w:r>
              <w:rPr>
                <w:rFonts w:hint="default" w:ascii="Times New Roman" w:hAnsi="Times New Roman" w:eastAsia="宋体" w:cs="Times New Roman"/>
                <w:color w:val="000000"/>
                <w:spacing w:val="-1"/>
                <w:sz w:val="24"/>
                <w:szCs w:val="24"/>
                <w:highlight w:val="none"/>
                <w:lang w:val="en-US" w:eastAsia="zh-CN"/>
              </w:rPr>
              <w:t>采用装载机铲装，经汽车运送到石材加工车间，加工不同规格型号饰面石材进行对外销售。</w:t>
            </w:r>
          </w:p>
          <w:p w14:paraId="78AB9A95">
            <w:pPr>
              <w:keepNext w:val="0"/>
              <w:keepLines w:val="0"/>
              <w:pageBreakBefore w:val="0"/>
              <w:widowControl w:val="0"/>
              <w:kinsoku/>
              <w:wordWrap/>
              <w:overflowPunct/>
              <w:topLinePunct w:val="0"/>
              <w:autoSpaceDE/>
              <w:autoSpaceDN/>
              <w:bidi w:val="0"/>
              <w:adjustRightInd/>
              <w:snapToGrid w:val="0"/>
              <w:spacing w:line="360" w:lineRule="auto"/>
              <w:ind w:left="0" w:right="0" w:firstLine="509"/>
              <w:textAlignment w:val="auto"/>
              <w:rPr>
                <w:rFonts w:hint="default" w:ascii="Times New Roman" w:hAnsi="Times New Roman" w:eastAsia="宋体" w:cs="Times New Roman"/>
                <w:bCs/>
                <w:snapToGrid w:val="0"/>
                <w:spacing w:val="0"/>
                <w:kern w:val="0"/>
                <w:position w:val="0"/>
                <w:sz w:val="24"/>
                <w:szCs w:val="24"/>
                <w:highlight w:val="none"/>
                <w:lang w:val="en-US" w:eastAsia="zh-CN" w:bidi="ar-SA"/>
              </w:rPr>
            </w:pPr>
            <w:r>
              <w:rPr>
                <w:rFonts w:hint="eastAsia" w:ascii="Times New Roman" w:hAnsi="Times New Roman" w:eastAsia="宋体" w:cs="Times New Roman"/>
                <w:bCs/>
                <w:snapToGrid w:val="0"/>
                <w:spacing w:val="0"/>
                <w:kern w:val="0"/>
                <w:position w:val="0"/>
                <w:sz w:val="24"/>
                <w:szCs w:val="24"/>
                <w:highlight w:val="none"/>
                <w:lang w:val="en-US" w:eastAsia="zh-CN" w:bidi="ar-SA"/>
              </w:rPr>
              <w:t>（6）</w:t>
            </w:r>
            <w:r>
              <w:rPr>
                <w:rFonts w:hint="default" w:ascii="Times New Roman" w:hAnsi="Times New Roman" w:eastAsia="宋体" w:cs="Times New Roman"/>
                <w:bCs/>
                <w:snapToGrid w:val="0"/>
                <w:spacing w:val="0"/>
                <w:kern w:val="0"/>
                <w:position w:val="0"/>
                <w:sz w:val="24"/>
                <w:szCs w:val="24"/>
                <w:highlight w:val="none"/>
                <w:lang w:val="en-US" w:eastAsia="zh-CN" w:bidi="ar-SA"/>
              </w:rPr>
              <w:t>境界参数</w:t>
            </w:r>
          </w:p>
          <w:p w14:paraId="4113690D">
            <w:pPr>
              <w:keepNext w:val="0"/>
              <w:keepLines w:val="0"/>
              <w:pageBreakBefore w:val="0"/>
              <w:widowControl w:val="0"/>
              <w:kinsoku/>
              <w:wordWrap/>
              <w:overflowPunct/>
              <w:topLinePunct w:val="0"/>
              <w:autoSpaceDE/>
              <w:autoSpaceDN/>
              <w:bidi w:val="0"/>
              <w:adjustRightInd/>
              <w:snapToGrid w:val="0"/>
              <w:spacing w:line="360" w:lineRule="auto"/>
              <w:ind w:left="0" w:right="0" w:firstLine="509"/>
              <w:textAlignment w:val="auto"/>
              <w:rPr>
                <w:rFonts w:hint="default" w:ascii="Times New Roman" w:hAnsi="Times New Roman" w:eastAsia="宋体" w:cs="Times New Roman"/>
                <w:bCs/>
                <w:snapToGrid w:val="0"/>
                <w:spacing w:val="0"/>
                <w:kern w:val="0"/>
                <w:position w:val="0"/>
                <w:sz w:val="24"/>
                <w:szCs w:val="24"/>
                <w:highlight w:val="none"/>
                <w:lang w:val="en-US" w:eastAsia="zh-CN" w:bidi="ar-SA"/>
              </w:rPr>
            </w:pPr>
            <w:r>
              <w:rPr>
                <w:rFonts w:hint="default" w:ascii="Times New Roman" w:hAnsi="Times New Roman" w:eastAsia="宋体" w:cs="Times New Roman"/>
                <w:bCs/>
                <w:snapToGrid w:val="0"/>
                <w:spacing w:val="0"/>
                <w:kern w:val="0"/>
                <w:position w:val="0"/>
                <w:sz w:val="24"/>
                <w:szCs w:val="24"/>
                <w:highlight w:val="none"/>
                <w:lang w:val="en-US" w:eastAsia="zh-CN" w:bidi="ar-SA"/>
              </w:rPr>
              <w:t>根据本方案拟定的采场工作帮边坡相关参数，最终确定该矿露天开采境界主要参数如下：</w:t>
            </w:r>
          </w:p>
          <w:p w14:paraId="22A967DD">
            <w:pPr>
              <w:keepNext w:val="0"/>
              <w:keepLines w:val="0"/>
              <w:pageBreakBefore w:val="0"/>
              <w:widowControl w:val="0"/>
              <w:kinsoku/>
              <w:wordWrap/>
              <w:overflowPunct/>
              <w:topLinePunct w:val="0"/>
              <w:autoSpaceDE/>
              <w:autoSpaceDN/>
              <w:bidi w:val="0"/>
              <w:adjustRightInd/>
              <w:snapToGrid w:val="0"/>
              <w:spacing w:line="360" w:lineRule="auto"/>
              <w:ind w:right="0" w:firstLine="476" w:firstLineChars="200"/>
              <w:textAlignment w:val="auto"/>
              <w:rPr>
                <w:rFonts w:hint="default" w:ascii="Times New Roman" w:hAnsi="Times New Roman" w:eastAsia="宋体" w:cs="Times New Roman"/>
                <w:color w:val="000000"/>
                <w:spacing w:val="-1"/>
                <w:sz w:val="24"/>
                <w:szCs w:val="24"/>
                <w:highlight w:val="none"/>
                <w:lang w:val="en-US" w:eastAsia="zh-CN"/>
              </w:rPr>
            </w:pPr>
            <w:r>
              <w:rPr>
                <w:rFonts w:hint="default" w:ascii="Times New Roman" w:hAnsi="Times New Roman" w:eastAsia="宋体" w:cs="Times New Roman"/>
                <w:color w:val="000000"/>
                <w:spacing w:val="-1"/>
                <w:sz w:val="24"/>
                <w:szCs w:val="24"/>
                <w:highlight w:val="none"/>
                <w:lang w:val="en-US" w:eastAsia="zh-CN"/>
              </w:rPr>
              <w:t>根据本方案拟定的采场工作帮边坡相关参数，最终确定该矿露天开采境界</w:t>
            </w:r>
          </w:p>
          <w:p w14:paraId="015501F5">
            <w:pPr>
              <w:keepNext w:val="0"/>
              <w:keepLines w:val="0"/>
              <w:pageBreakBefore w:val="0"/>
              <w:widowControl w:val="0"/>
              <w:kinsoku/>
              <w:wordWrap/>
              <w:overflowPunct/>
              <w:topLinePunct w:val="0"/>
              <w:autoSpaceDE/>
              <w:autoSpaceDN/>
              <w:bidi w:val="0"/>
              <w:adjustRightInd/>
              <w:snapToGrid w:val="0"/>
              <w:spacing w:line="360" w:lineRule="auto"/>
              <w:ind w:right="0" w:firstLine="476" w:firstLineChars="200"/>
              <w:textAlignment w:val="auto"/>
              <w:rPr>
                <w:rFonts w:hint="default" w:ascii="Times New Roman" w:hAnsi="Times New Roman" w:eastAsia="宋体" w:cs="Times New Roman"/>
                <w:color w:val="000000"/>
                <w:spacing w:val="-1"/>
                <w:sz w:val="24"/>
                <w:szCs w:val="24"/>
                <w:highlight w:val="none"/>
                <w:lang w:val="en-US" w:eastAsia="zh-CN"/>
              </w:rPr>
            </w:pPr>
            <w:r>
              <w:rPr>
                <w:rFonts w:hint="default" w:ascii="Times New Roman" w:hAnsi="Times New Roman" w:eastAsia="宋体" w:cs="Times New Roman"/>
                <w:color w:val="000000"/>
                <w:spacing w:val="-1"/>
                <w:sz w:val="24"/>
                <w:szCs w:val="24"/>
                <w:highlight w:val="none"/>
                <w:lang w:val="en-US" w:eastAsia="zh-CN"/>
              </w:rPr>
              <w:t>主要参数如下：</w:t>
            </w:r>
          </w:p>
          <w:p w14:paraId="1C1FF5AA">
            <w:pPr>
              <w:keepNext w:val="0"/>
              <w:keepLines w:val="0"/>
              <w:pageBreakBefore w:val="0"/>
              <w:widowControl w:val="0"/>
              <w:kinsoku/>
              <w:wordWrap/>
              <w:overflowPunct/>
              <w:topLinePunct w:val="0"/>
              <w:autoSpaceDE/>
              <w:autoSpaceDN/>
              <w:bidi w:val="0"/>
              <w:adjustRightInd/>
              <w:snapToGrid w:val="0"/>
              <w:spacing w:line="360" w:lineRule="auto"/>
              <w:ind w:right="0" w:firstLine="476" w:firstLineChars="200"/>
              <w:textAlignment w:val="auto"/>
              <w:rPr>
                <w:rFonts w:hint="default" w:ascii="Times New Roman" w:hAnsi="Times New Roman" w:eastAsia="宋体" w:cs="Times New Roman"/>
                <w:color w:val="000000"/>
                <w:spacing w:val="-1"/>
                <w:sz w:val="24"/>
                <w:szCs w:val="24"/>
                <w:highlight w:val="none"/>
                <w:lang w:val="en-US" w:eastAsia="zh-CN"/>
              </w:rPr>
            </w:pPr>
            <w:r>
              <w:rPr>
                <w:rFonts w:hint="default" w:ascii="Times New Roman" w:hAnsi="Times New Roman" w:eastAsia="宋体" w:cs="Times New Roman"/>
                <w:color w:val="000000"/>
                <w:spacing w:val="-1"/>
                <w:sz w:val="24"/>
                <w:szCs w:val="24"/>
                <w:highlight w:val="none"/>
                <w:lang w:val="en-US" w:eastAsia="zh-CN"/>
              </w:rPr>
              <w:t>工作台阶高度20m；</w:t>
            </w:r>
          </w:p>
          <w:p w14:paraId="228F5296">
            <w:pPr>
              <w:keepNext w:val="0"/>
              <w:keepLines w:val="0"/>
              <w:pageBreakBefore w:val="0"/>
              <w:widowControl w:val="0"/>
              <w:kinsoku/>
              <w:wordWrap/>
              <w:overflowPunct/>
              <w:topLinePunct w:val="0"/>
              <w:autoSpaceDE/>
              <w:autoSpaceDN/>
              <w:bidi w:val="0"/>
              <w:adjustRightInd/>
              <w:snapToGrid w:val="0"/>
              <w:spacing w:line="360" w:lineRule="auto"/>
              <w:ind w:right="0" w:firstLine="476" w:firstLineChars="200"/>
              <w:textAlignment w:val="auto"/>
              <w:rPr>
                <w:rFonts w:hint="default" w:ascii="Times New Roman" w:hAnsi="Times New Roman" w:eastAsia="宋体" w:cs="Times New Roman"/>
                <w:color w:val="000000"/>
                <w:spacing w:val="-1"/>
                <w:sz w:val="24"/>
                <w:szCs w:val="24"/>
                <w:highlight w:val="none"/>
                <w:lang w:val="en-US" w:eastAsia="zh-CN"/>
              </w:rPr>
            </w:pPr>
            <w:r>
              <w:rPr>
                <w:rFonts w:hint="default" w:ascii="Times New Roman" w:hAnsi="Times New Roman" w:eastAsia="宋体" w:cs="Times New Roman"/>
                <w:color w:val="000000"/>
                <w:spacing w:val="-1"/>
                <w:sz w:val="24"/>
                <w:szCs w:val="24"/>
                <w:highlight w:val="none"/>
                <w:lang w:val="en-US" w:eastAsia="zh-CN"/>
              </w:rPr>
              <w:t>开采终了台阶高度15m；表土及风化层台阶高度15m；</w:t>
            </w:r>
          </w:p>
          <w:p w14:paraId="225DDC45">
            <w:pPr>
              <w:keepNext w:val="0"/>
              <w:keepLines w:val="0"/>
              <w:pageBreakBefore w:val="0"/>
              <w:widowControl w:val="0"/>
              <w:kinsoku/>
              <w:wordWrap/>
              <w:overflowPunct/>
              <w:topLinePunct w:val="0"/>
              <w:autoSpaceDE/>
              <w:autoSpaceDN/>
              <w:bidi w:val="0"/>
              <w:adjustRightInd/>
              <w:snapToGrid w:val="0"/>
              <w:spacing w:line="360" w:lineRule="auto"/>
              <w:ind w:right="0" w:firstLine="476" w:firstLineChars="200"/>
              <w:textAlignment w:val="auto"/>
              <w:rPr>
                <w:rFonts w:hint="default" w:ascii="Times New Roman" w:hAnsi="Times New Roman" w:eastAsia="宋体" w:cs="Times New Roman"/>
                <w:color w:val="000000"/>
                <w:spacing w:val="-1"/>
                <w:sz w:val="24"/>
                <w:szCs w:val="24"/>
                <w:highlight w:val="none"/>
                <w:lang w:val="en-US" w:eastAsia="zh-CN"/>
              </w:rPr>
            </w:pPr>
            <w:r>
              <w:rPr>
                <w:rFonts w:hint="default" w:ascii="Times New Roman" w:hAnsi="Times New Roman" w:eastAsia="宋体" w:cs="Times New Roman"/>
                <w:color w:val="000000"/>
                <w:spacing w:val="-1"/>
                <w:sz w:val="24"/>
                <w:szCs w:val="24"/>
                <w:highlight w:val="none"/>
                <w:lang w:val="en-US" w:eastAsia="zh-CN"/>
              </w:rPr>
              <w:t>工作台阶坡面角90°；</w:t>
            </w:r>
          </w:p>
          <w:p w14:paraId="22D2F2F0">
            <w:pPr>
              <w:keepNext w:val="0"/>
              <w:keepLines w:val="0"/>
              <w:pageBreakBefore w:val="0"/>
              <w:widowControl w:val="0"/>
              <w:kinsoku/>
              <w:wordWrap/>
              <w:overflowPunct/>
              <w:topLinePunct w:val="0"/>
              <w:autoSpaceDE/>
              <w:autoSpaceDN/>
              <w:bidi w:val="0"/>
              <w:adjustRightInd/>
              <w:snapToGrid w:val="0"/>
              <w:spacing w:line="360" w:lineRule="auto"/>
              <w:ind w:right="0" w:firstLine="476" w:firstLineChars="200"/>
              <w:textAlignment w:val="auto"/>
              <w:rPr>
                <w:rFonts w:hint="default" w:ascii="Times New Roman" w:hAnsi="Times New Roman" w:eastAsia="宋体" w:cs="Times New Roman"/>
                <w:color w:val="000000"/>
                <w:spacing w:val="-1"/>
                <w:sz w:val="24"/>
                <w:szCs w:val="24"/>
                <w:highlight w:val="none"/>
                <w:lang w:val="en-US" w:eastAsia="zh-CN"/>
              </w:rPr>
            </w:pPr>
            <w:r>
              <w:rPr>
                <w:rFonts w:hint="default" w:ascii="Times New Roman" w:hAnsi="Times New Roman" w:eastAsia="宋体" w:cs="Times New Roman"/>
                <w:color w:val="000000"/>
                <w:spacing w:val="-1"/>
                <w:sz w:val="24"/>
                <w:szCs w:val="24"/>
                <w:highlight w:val="none"/>
                <w:lang w:val="en-US" w:eastAsia="zh-CN"/>
              </w:rPr>
              <w:t>终了台阶坡面角72°；表土及风化层终了台阶坡面角30～45°；</w:t>
            </w:r>
          </w:p>
          <w:p w14:paraId="58A57F52">
            <w:pPr>
              <w:keepNext w:val="0"/>
              <w:keepLines w:val="0"/>
              <w:pageBreakBefore w:val="0"/>
              <w:widowControl w:val="0"/>
              <w:kinsoku/>
              <w:wordWrap/>
              <w:overflowPunct/>
              <w:topLinePunct w:val="0"/>
              <w:autoSpaceDE/>
              <w:autoSpaceDN/>
              <w:bidi w:val="0"/>
              <w:adjustRightInd/>
              <w:snapToGrid w:val="0"/>
              <w:spacing w:line="360" w:lineRule="auto"/>
              <w:ind w:left="0" w:right="0" w:firstLine="476" w:firstLineChars="200"/>
              <w:textAlignment w:val="auto"/>
              <w:rPr>
                <w:rFonts w:hint="default" w:ascii="Times New Roman" w:hAnsi="Times New Roman" w:eastAsia="宋体" w:cs="Times New Roman"/>
                <w:color w:val="000000"/>
                <w:spacing w:val="-1"/>
                <w:sz w:val="24"/>
                <w:szCs w:val="24"/>
                <w:highlight w:val="none"/>
                <w:lang w:val="en-US" w:eastAsia="zh-CN"/>
              </w:rPr>
            </w:pPr>
            <w:r>
              <w:rPr>
                <w:rFonts w:hint="default" w:ascii="Times New Roman" w:hAnsi="Times New Roman" w:eastAsia="宋体" w:cs="Times New Roman"/>
                <w:color w:val="000000"/>
                <w:spacing w:val="-1"/>
                <w:sz w:val="24"/>
                <w:szCs w:val="24"/>
                <w:highlight w:val="none"/>
                <w:lang w:val="en-US" w:eastAsia="zh-CN"/>
              </w:rPr>
              <w:t>终了边坡角54.9°；</w:t>
            </w:r>
          </w:p>
          <w:p w14:paraId="08995FB6">
            <w:pPr>
              <w:keepNext w:val="0"/>
              <w:keepLines w:val="0"/>
              <w:pageBreakBefore w:val="0"/>
              <w:widowControl w:val="0"/>
              <w:kinsoku/>
              <w:wordWrap/>
              <w:overflowPunct/>
              <w:topLinePunct w:val="0"/>
              <w:autoSpaceDE/>
              <w:autoSpaceDN/>
              <w:bidi w:val="0"/>
              <w:adjustRightInd/>
              <w:snapToGrid w:val="0"/>
              <w:spacing w:line="360" w:lineRule="auto"/>
              <w:ind w:left="0" w:right="0" w:firstLine="476" w:firstLineChars="200"/>
              <w:textAlignment w:val="auto"/>
              <w:rPr>
                <w:rFonts w:hint="default" w:ascii="Times New Roman" w:hAnsi="Times New Roman" w:eastAsia="宋体" w:cs="Times New Roman"/>
                <w:color w:val="000000"/>
                <w:spacing w:val="-1"/>
                <w:sz w:val="24"/>
                <w:szCs w:val="24"/>
                <w:highlight w:val="none"/>
                <w:lang w:val="en-US" w:eastAsia="zh-CN"/>
              </w:rPr>
            </w:pPr>
            <w:r>
              <w:rPr>
                <w:rFonts w:hint="default" w:ascii="Times New Roman" w:hAnsi="Times New Roman" w:eastAsia="宋体" w:cs="Times New Roman"/>
                <w:color w:val="000000"/>
                <w:spacing w:val="-1"/>
                <w:sz w:val="24"/>
                <w:szCs w:val="24"/>
                <w:highlight w:val="none"/>
                <w:lang w:val="en-US" w:eastAsia="zh-CN"/>
              </w:rPr>
              <w:t>安全平台宽度5m；</w:t>
            </w:r>
          </w:p>
          <w:p w14:paraId="33F4A78B">
            <w:pPr>
              <w:keepNext w:val="0"/>
              <w:keepLines w:val="0"/>
              <w:pageBreakBefore w:val="0"/>
              <w:widowControl w:val="0"/>
              <w:kinsoku/>
              <w:wordWrap/>
              <w:overflowPunct/>
              <w:topLinePunct w:val="0"/>
              <w:autoSpaceDE/>
              <w:autoSpaceDN/>
              <w:bidi w:val="0"/>
              <w:adjustRightInd/>
              <w:snapToGrid w:val="0"/>
              <w:spacing w:line="360" w:lineRule="auto"/>
              <w:ind w:left="0" w:right="0" w:firstLine="476" w:firstLineChars="200"/>
              <w:textAlignment w:val="auto"/>
              <w:rPr>
                <w:rFonts w:hint="default" w:ascii="Times New Roman" w:hAnsi="Times New Roman" w:eastAsia="宋体" w:cs="Times New Roman"/>
                <w:color w:val="000000"/>
                <w:spacing w:val="-1"/>
                <w:sz w:val="24"/>
                <w:szCs w:val="24"/>
                <w:highlight w:val="none"/>
                <w:lang w:val="en-US" w:eastAsia="zh-CN"/>
              </w:rPr>
            </w:pPr>
            <w:r>
              <w:rPr>
                <w:rFonts w:hint="default" w:ascii="Times New Roman" w:hAnsi="Times New Roman" w:eastAsia="宋体" w:cs="Times New Roman"/>
                <w:color w:val="000000"/>
                <w:spacing w:val="-1"/>
                <w:sz w:val="24"/>
                <w:szCs w:val="24"/>
                <w:highlight w:val="none"/>
                <w:lang w:val="en-US" w:eastAsia="zh-CN"/>
              </w:rPr>
              <w:t>清扫平台宽度8m；</w:t>
            </w:r>
          </w:p>
          <w:p w14:paraId="3CF384F2">
            <w:pPr>
              <w:keepNext w:val="0"/>
              <w:keepLines w:val="0"/>
              <w:pageBreakBefore w:val="0"/>
              <w:widowControl w:val="0"/>
              <w:kinsoku/>
              <w:wordWrap/>
              <w:overflowPunct/>
              <w:topLinePunct w:val="0"/>
              <w:autoSpaceDE/>
              <w:autoSpaceDN/>
              <w:bidi w:val="0"/>
              <w:adjustRightInd/>
              <w:snapToGrid w:val="0"/>
              <w:spacing w:line="360" w:lineRule="auto"/>
              <w:ind w:left="0" w:right="0" w:firstLine="476" w:firstLineChars="200"/>
              <w:textAlignment w:val="auto"/>
              <w:rPr>
                <w:rFonts w:hint="default" w:ascii="Times New Roman" w:hAnsi="Times New Roman" w:eastAsia="宋体" w:cs="Times New Roman"/>
                <w:color w:val="000000"/>
                <w:spacing w:val="-1"/>
                <w:sz w:val="24"/>
                <w:szCs w:val="24"/>
                <w:highlight w:val="none"/>
                <w:lang w:val="en-US" w:eastAsia="zh-CN"/>
              </w:rPr>
            </w:pPr>
            <w:r>
              <w:rPr>
                <w:rFonts w:hint="default" w:ascii="Times New Roman" w:hAnsi="Times New Roman" w:eastAsia="宋体" w:cs="Times New Roman"/>
                <w:color w:val="000000"/>
                <w:spacing w:val="-1"/>
                <w:sz w:val="24"/>
                <w:szCs w:val="24"/>
                <w:highlight w:val="none"/>
                <w:lang w:val="en-US" w:eastAsia="zh-CN"/>
              </w:rPr>
              <w:t>最小工作平台宽度30m。</w:t>
            </w:r>
          </w:p>
          <w:p w14:paraId="54EBD744">
            <w:pPr>
              <w:pStyle w:val="23"/>
              <w:keepNext w:val="0"/>
              <w:keepLines w:val="0"/>
              <w:pageBreakBefore w:val="0"/>
              <w:widowControl w:val="0"/>
              <w:tabs>
                <w:tab w:val="left" w:pos="1273"/>
              </w:tabs>
              <w:kinsoku/>
              <w:wordWrap/>
              <w:overflowPunct/>
              <w:topLinePunct w:val="0"/>
              <w:autoSpaceDE w:val="0"/>
              <w:autoSpaceDN w:val="0"/>
              <w:bidi w:val="0"/>
              <w:adjustRightInd/>
              <w:snapToGrid/>
              <w:spacing w:before="0" w:line="360" w:lineRule="auto"/>
              <w:ind w:firstLine="482" w:firstLineChars="200"/>
              <w:jc w:val="both"/>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污染物产生情况</w:t>
            </w:r>
          </w:p>
          <w:p w14:paraId="643351B6">
            <w:pPr>
              <w:shd w:val="clear" w:color="auto" w:fill="auto"/>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项目运营期污染物产生情况见</w:t>
            </w:r>
            <w:r>
              <w:rPr>
                <w:rFonts w:hint="eastAsia" w:cs="Times New Roman"/>
                <w:color w:val="auto"/>
                <w:sz w:val="24"/>
                <w:szCs w:val="24"/>
                <w:lang w:val="en-US" w:eastAsia="zh-CN"/>
              </w:rPr>
              <w:t>下表</w:t>
            </w:r>
            <w:r>
              <w:rPr>
                <w:rFonts w:hint="default" w:ascii="Times New Roman" w:hAnsi="Times New Roman" w:eastAsia="宋体" w:cs="Times New Roman"/>
                <w:color w:val="auto"/>
                <w:sz w:val="24"/>
                <w:szCs w:val="24"/>
                <w:lang w:val="en-US" w:eastAsia="zh-CN"/>
              </w:rPr>
              <w:t>。</w:t>
            </w:r>
          </w:p>
          <w:p w14:paraId="3DF19470">
            <w:pPr>
              <w:autoSpaceDE/>
              <w:autoSpaceDN/>
              <w:spacing w:before="156" w:beforeLines="50" w:line="240" w:lineRule="auto"/>
              <w:jc w:val="center"/>
              <w:rPr>
                <w:rFonts w:hint="default" w:ascii="Times New Roman" w:hAnsi="Times New Roman" w:eastAsia="宋体" w:cs="Times New Roman"/>
                <w:b/>
                <w:bCs/>
                <w:color w:val="auto"/>
                <w:kern w:val="2"/>
                <w:sz w:val="24"/>
                <w:lang w:val="en-US" w:eastAsia="zh-CN" w:bidi="ar-SA"/>
              </w:rPr>
            </w:pPr>
            <w:r>
              <w:rPr>
                <w:rFonts w:hint="default" w:ascii="Times New Roman" w:hAnsi="Times New Roman" w:eastAsia="宋体" w:cs="Times New Roman"/>
                <w:b/>
                <w:bCs/>
                <w:color w:val="auto"/>
                <w:kern w:val="2"/>
                <w:sz w:val="24"/>
                <w:lang w:val="en-US" w:eastAsia="zh-CN" w:bidi="ar-SA"/>
              </w:rPr>
              <w:t>表4-</w:t>
            </w:r>
            <w:r>
              <w:rPr>
                <w:rFonts w:hint="eastAsia" w:cs="Times New Roman"/>
                <w:b/>
                <w:bCs/>
                <w:color w:val="auto"/>
                <w:kern w:val="2"/>
                <w:sz w:val="24"/>
                <w:lang w:val="en-US" w:eastAsia="zh-CN" w:bidi="ar-SA"/>
              </w:rPr>
              <w:t>12</w:t>
            </w:r>
            <w:r>
              <w:rPr>
                <w:rFonts w:hint="default" w:ascii="Times New Roman" w:hAnsi="Times New Roman" w:eastAsia="宋体" w:cs="Times New Roman"/>
                <w:b/>
                <w:bCs/>
                <w:color w:val="auto"/>
                <w:kern w:val="2"/>
                <w:sz w:val="24"/>
                <w:lang w:val="en-US" w:eastAsia="zh-CN" w:bidi="ar-SA"/>
              </w:rPr>
              <w:t xml:space="preserve">  项目运营期污染物产生情况一览表</w:t>
            </w:r>
          </w:p>
          <w:tbl>
            <w:tblPr>
              <w:tblStyle w:val="17"/>
              <w:tblW w:w="491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519"/>
              <w:gridCol w:w="1454"/>
              <w:gridCol w:w="1595"/>
              <w:gridCol w:w="1640"/>
              <w:gridCol w:w="3088"/>
            </w:tblGrid>
            <w:tr w14:paraId="321CE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9" w:type="pct"/>
                  <w:tcBorders>
                    <w:top w:val="single" w:color="auto" w:sz="12" w:space="0"/>
                    <w:bottom w:val="single" w:color="auto" w:sz="12" w:space="0"/>
                  </w:tcBorders>
                  <w:noWrap w:val="0"/>
                  <w:vAlign w:val="center"/>
                </w:tcPr>
                <w:p w14:paraId="3078B3CE">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bCs/>
                      <w:color w:val="auto"/>
                      <w:kern w:val="0"/>
                      <w:sz w:val="18"/>
                      <w:szCs w:val="18"/>
                      <w:lang w:val="zh-CN" w:eastAsia="zh-CN" w:bidi="zh-CN"/>
                    </w:rPr>
                  </w:pPr>
                  <w:r>
                    <w:rPr>
                      <w:rFonts w:hint="default" w:ascii="Times New Roman" w:hAnsi="Times New Roman" w:eastAsia="宋体" w:cs="Times New Roman"/>
                      <w:b/>
                      <w:bCs/>
                      <w:color w:val="auto"/>
                      <w:kern w:val="0"/>
                      <w:sz w:val="18"/>
                      <w:szCs w:val="18"/>
                      <w:lang w:val="zh-CN" w:eastAsia="zh-CN" w:bidi="zh-CN"/>
                    </w:rPr>
                    <w:t>项目</w:t>
                  </w:r>
                </w:p>
              </w:tc>
              <w:tc>
                <w:tcPr>
                  <w:tcW w:w="1091" w:type="pct"/>
                  <w:gridSpan w:val="2"/>
                  <w:tcBorders>
                    <w:top w:val="single" w:color="auto" w:sz="12" w:space="0"/>
                    <w:bottom w:val="single" w:color="auto" w:sz="12" w:space="0"/>
                  </w:tcBorders>
                  <w:noWrap w:val="0"/>
                  <w:vAlign w:val="center"/>
                </w:tcPr>
                <w:p w14:paraId="7CCBB6C3">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bCs/>
                      <w:color w:val="auto"/>
                      <w:kern w:val="0"/>
                      <w:sz w:val="18"/>
                      <w:szCs w:val="18"/>
                      <w:lang w:val="zh-CN" w:eastAsia="zh-CN" w:bidi="zh-CN"/>
                    </w:rPr>
                  </w:pPr>
                  <w:r>
                    <w:rPr>
                      <w:rFonts w:hint="default" w:ascii="Times New Roman" w:hAnsi="Times New Roman" w:eastAsia="宋体" w:cs="Times New Roman"/>
                      <w:b/>
                      <w:bCs/>
                      <w:color w:val="auto"/>
                      <w:kern w:val="0"/>
                      <w:sz w:val="18"/>
                      <w:szCs w:val="18"/>
                      <w:lang w:val="zh-CN" w:eastAsia="zh-CN" w:bidi="zh-CN"/>
                    </w:rPr>
                    <w:t>主要污染物种类</w:t>
                  </w:r>
                </w:p>
              </w:tc>
              <w:tc>
                <w:tcPr>
                  <w:tcW w:w="882" w:type="pct"/>
                  <w:tcBorders>
                    <w:top w:val="single" w:color="auto" w:sz="12" w:space="0"/>
                    <w:bottom w:val="single" w:color="auto" w:sz="12" w:space="0"/>
                  </w:tcBorders>
                  <w:noWrap w:val="0"/>
                  <w:vAlign w:val="center"/>
                </w:tcPr>
                <w:p w14:paraId="2DE0B71A">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bCs/>
                      <w:color w:val="auto"/>
                      <w:kern w:val="0"/>
                      <w:sz w:val="18"/>
                      <w:szCs w:val="18"/>
                      <w:lang w:val="zh-CN" w:eastAsia="zh-CN" w:bidi="zh-CN"/>
                    </w:rPr>
                  </w:pPr>
                  <w:r>
                    <w:rPr>
                      <w:rFonts w:hint="default" w:ascii="Times New Roman" w:hAnsi="Times New Roman" w:eastAsia="宋体" w:cs="Times New Roman"/>
                      <w:b/>
                      <w:bCs/>
                      <w:color w:val="auto"/>
                      <w:kern w:val="0"/>
                      <w:sz w:val="18"/>
                      <w:szCs w:val="18"/>
                      <w:lang w:val="zh-CN" w:eastAsia="zh-CN" w:bidi="zh-CN"/>
                    </w:rPr>
                    <w:t>来源</w:t>
                  </w:r>
                </w:p>
              </w:tc>
              <w:tc>
                <w:tcPr>
                  <w:tcW w:w="907" w:type="pct"/>
                  <w:tcBorders>
                    <w:top w:val="single" w:color="auto" w:sz="12" w:space="0"/>
                    <w:bottom w:val="single" w:color="auto" w:sz="12" w:space="0"/>
                  </w:tcBorders>
                  <w:noWrap w:val="0"/>
                  <w:vAlign w:val="center"/>
                </w:tcPr>
                <w:p w14:paraId="569C577A">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bCs/>
                      <w:color w:val="auto"/>
                      <w:kern w:val="0"/>
                      <w:sz w:val="18"/>
                      <w:szCs w:val="18"/>
                      <w:lang w:val="zh-CN" w:eastAsia="zh-CN" w:bidi="zh-CN"/>
                    </w:rPr>
                  </w:pPr>
                  <w:r>
                    <w:rPr>
                      <w:rFonts w:hint="default" w:ascii="Times New Roman" w:hAnsi="Times New Roman" w:eastAsia="宋体" w:cs="Times New Roman"/>
                      <w:b/>
                      <w:bCs/>
                      <w:color w:val="auto"/>
                      <w:kern w:val="0"/>
                      <w:sz w:val="18"/>
                      <w:szCs w:val="18"/>
                      <w:lang w:val="zh-CN" w:eastAsia="zh-CN" w:bidi="zh-CN"/>
                    </w:rPr>
                    <w:t>主要污染因子</w:t>
                  </w:r>
                </w:p>
              </w:tc>
              <w:tc>
                <w:tcPr>
                  <w:tcW w:w="1708" w:type="pct"/>
                  <w:tcBorders>
                    <w:top w:val="single" w:color="auto" w:sz="12" w:space="0"/>
                    <w:bottom w:val="single" w:color="auto" w:sz="12" w:space="0"/>
                  </w:tcBorders>
                  <w:noWrap w:val="0"/>
                  <w:vAlign w:val="center"/>
                </w:tcPr>
                <w:p w14:paraId="3A2F2CC0">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bCs/>
                      <w:color w:val="auto"/>
                      <w:kern w:val="0"/>
                      <w:sz w:val="18"/>
                      <w:szCs w:val="18"/>
                      <w:lang w:val="en-US" w:eastAsia="zh-CN" w:bidi="zh-CN"/>
                    </w:rPr>
                  </w:pPr>
                  <w:r>
                    <w:rPr>
                      <w:rFonts w:hint="default" w:ascii="Times New Roman" w:hAnsi="Times New Roman" w:eastAsia="宋体" w:cs="Times New Roman"/>
                      <w:b/>
                      <w:bCs/>
                      <w:color w:val="auto"/>
                      <w:kern w:val="0"/>
                      <w:sz w:val="18"/>
                      <w:szCs w:val="18"/>
                      <w:lang w:val="en-US" w:eastAsia="zh-CN" w:bidi="zh-CN"/>
                    </w:rPr>
                    <w:t>去向</w:t>
                  </w:r>
                </w:p>
              </w:tc>
            </w:tr>
            <w:tr w14:paraId="15950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restart"/>
                  <w:noWrap w:val="0"/>
                  <w:vAlign w:val="center"/>
                </w:tcPr>
                <w:p w14:paraId="3A334AAD">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废气</w:t>
                  </w:r>
                </w:p>
              </w:tc>
              <w:tc>
                <w:tcPr>
                  <w:tcW w:w="287" w:type="pct"/>
                  <w:noWrap w:val="0"/>
                  <w:vAlign w:val="center"/>
                </w:tcPr>
                <w:p w14:paraId="39AC5ED3">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1</w:t>
                  </w:r>
                </w:p>
              </w:tc>
              <w:tc>
                <w:tcPr>
                  <w:tcW w:w="804" w:type="pct"/>
                  <w:noWrap w:val="0"/>
                  <w:vAlign w:val="center"/>
                </w:tcPr>
                <w:p w14:paraId="776A1F3B">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剥离粉尘</w:t>
                  </w:r>
                </w:p>
              </w:tc>
              <w:tc>
                <w:tcPr>
                  <w:tcW w:w="882" w:type="pct"/>
                  <w:noWrap w:val="0"/>
                  <w:vAlign w:val="center"/>
                </w:tcPr>
                <w:p w14:paraId="5AA5F145">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eastAsia" w:eastAsia="宋体" w:cs="Times New Roman"/>
                      <w:b w:val="0"/>
                      <w:bCs/>
                      <w:snapToGrid w:val="0"/>
                      <w:sz w:val="18"/>
                      <w:szCs w:val="18"/>
                      <w:lang w:val="en-US" w:eastAsia="zh-CN"/>
                    </w:rPr>
                    <w:t>采矿区</w:t>
                  </w:r>
                </w:p>
              </w:tc>
              <w:tc>
                <w:tcPr>
                  <w:tcW w:w="907" w:type="pct"/>
                  <w:noWrap w:val="0"/>
                  <w:vAlign w:val="center"/>
                </w:tcPr>
                <w:p w14:paraId="4E7E4DCB">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粉尘</w:t>
                  </w:r>
                </w:p>
              </w:tc>
              <w:tc>
                <w:tcPr>
                  <w:tcW w:w="1708" w:type="pct"/>
                  <w:noWrap w:val="0"/>
                  <w:vAlign w:val="center"/>
                </w:tcPr>
                <w:p w14:paraId="4E92E36F">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default" w:ascii="Times New Roman" w:hAnsi="Times New Roman" w:eastAsia="宋体" w:cs="Times New Roman"/>
                      <w:b w:val="0"/>
                      <w:bCs/>
                      <w:snapToGrid w:val="0"/>
                      <w:sz w:val="18"/>
                      <w:szCs w:val="18"/>
                      <w:lang w:eastAsia="zh-CN"/>
                    </w:rPr>
                    <w:t>湿式作业，喷雾洒水</w:t>
                  </w:r>
                </w:p>
              </w:tc>
            </w:tr>
            <w:tr w14:paraId="4D959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continue"/>
                  <w:noWrap w:val="0"/>
                  <w:vAlign w:val="center"/>
                </w:tcPr>
                <w:p w14:paraId="36E1E256">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p>
              </w:tc>
              <w:tc>
                <w:tcPr>
                  <w:tcW w:w="287" w:type="pct"/>
                  <w:noWrap w:val="0"/>
                  <w:vAlign w:val="center"/>
                </w:tcPr>
                <w:p w14:paraId="1480252B">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2</w:t>
                  </w:r>
                </w:p>
              </w:tc>
              <w:tc>
                <w:tcPr>
                  <w:tcW w:w="804" w:type="pct"/>
                  <w:noWrap w:val="0"/>
                  <w:vAlign w:val="center"/>
                </w:tcPr>
                <w:p w14:paraId="1E41E386">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切割分离粉尘</w:t>
                  </w:r>
                </w:p>
              </w:tc>
              <w:tc>
                <w:tcPr>
                  <w:tcW w:w="882" w:type="pct"/>
                  <w:noWrap w:val="0"/>
                  <w:vAlign w:val="center"/>
                </w:tcPr>
                <w:p w14:paraId="193A3033">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矿石、产品</w:t>
                  </w:r>
                </w:p>
              </w:tc>
              <w:tc>
                <w:tcPr>
                  <w:tcW w:w="907" w:type="pct"/>
                  <w:noWrap w:val="0"/>
                  <w:vAlign w:val="center"/>
                </w:tcPr>
                <w:p w14:paraId="7277FB7D">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粉尘</w:t>
                  </w:r>
                </w:p>
              </w:tc>
              <w:tc>
                <w:tcPr>
                  <w:tcW w:w="1708" w:type="pct"/>
                  <w:noWrap w:val="0"/>
                  <w:vAlign w:val="center"/>
                </w:tcPr>
                <w:p w14:paraId="5F014577">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val="en-US" w:eastAsia="zh-CN"/>
                    </w:rPr>
                  </w:pPr>
                  <w:r>
                    <w:rPr>
                      <w:rFonts w:hint="default" w:ascii="Times New Roman" w:hAnsi="Times New Roman" w:eastAsia="宋体" w:cs="Times New Roman"/>
                      <w:b w:val="0"/>
                      <w:bCs/>
                      <w:snapToGrid w:val="0"/>
                      <w:sz w:val="18"/>
                      <w:szCs w:val="18"/>
                      <w:lang w:eastAsia="zh-CN"/>
                    </w:rPr>
                    <w:t>湿式作业，喷雾洒水</w:t>
                  </w:r>
                </w:p>
              </w:tc>
            </w:tr>
            <w:tr w14:paraId="71EB6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continue"/>
                  <w:noWrap w:val="0"/>
                  <w:vAlign w:val="center"/>
                </w:tcPr>
                <w:p w14:paraId="3F08BE1E">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p>
              </w:tc>
              <w:tc>
                <w:tcPr>
                  <w:tcW w:w="287" w:type="pct"/>
                  <w:noWrap w:val="0"/>
                  <w:vAlign w:val="center"/>
                </w:tcPr>
                <w:p w14:paraId="0B9AC785">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3</w:t>
                  </w:r>
                </w:p>
              </w:tc>
              <w:tc>
                <w:tcPr>
                  <w:tcW w:w="804" w:type="pct"/>
                  <w:noWrap w:val="0"/>
                  <w:vAlign w:val="center"/>
                </w:tcPr>
                <w:p w14:paraId="4990E9EF">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装卸扬尘</w:t>
                  </w:r>
                </w:p>
              </w:tc>
              <w:tc>
                <w:tcPr>
                  <w:tcW w:w="882" w:type="pct"/>
                  <w:vMerge w:val="restart"/>
                  <w:noWrap w:val="0"/>
                  <w:vAlign w:val="center"/>
                </w:tcPr>
                <w:p w14:paraId="1C3C60EE">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采矿区</w:t>
                  </w:r>
                </w:p>
              </w:tc>
              <w:tc>
                <w:tcPr>
                  <w:tcW w:w="907" w:type="pct"/>
                  <w:noWrap w:val="0"/>
                  <w:vAlign w:val="center"/>
                </w:tcPr>
                <w:p w14:paraId="7CF89023">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粉尘</w:t>
                  </w:r>
                </w:p>
              </w:tc>
              <w:tc>
                <w:tcPr>
                  <w:tcW w:w="1708" w:type="pct"/>
                  <w:noWrap w:val="0"/>
                  <w:vAlign w:val="center"/>
                </w:tcPr>
                <w:p w14:paraId="25D0529B">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装卸时尽可能将物料集中，喷雾抑尘</w:t>
                  </w:r>
                </w:p>
              </w:tc>
            </w:tr>
            <w:tr w14:paraId="04944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continue"/>
                  <w:noWrap w:val="0"/>
                  <w:vAlign w:val="center"/>
                </w:tcPr>
                <w:p w14:paraId="5428C420">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p>
              </w:tc>
              <w:tc>
                <w:tcPr>
                  <w:tcW w:w="287" w:type="pct"/>
                  <w:noWrap w:val="0"/>
                  <w:vAlign w:val="center"/>
                </w:tcPr>
                <w:p w14:paraId="24303659">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Times New Roman" w:hAnsi="Times New Roman" w:eastAsia="宋体" w:cs="Times New Roman"/>
                      <w:b w:val="0"/>
                      <w:bCs/>
                      <w:snapToGrid w:val="0"/>
                      <w:sz w:val="18"/>
                      <w:szCs w:val="18"/>
                      <w:lang w:eastAsia="zh-CN"/>
                    </w:rPr>
                  </w:pPr>
                  <w:r>
                    <w:rPr>
                      <w:rFonts w:hint="eastAsia" w:eastAsia="宋体" w:cs="Times New Roman"/>
                      <w:b w:val="0"/>
                      <w:bCs/>
                      <w:snapToGrid w:val="0"/>
                      <w:sz w:val="18"/>
                      <w:szCs w:val="18"/>
                      <w:lang w:val="en-US" w:eastAsia="zh-CN"/>
                    </w:rPr>
                    <w:t>4</w:t>
                  </w:r>
                </w:p>
              </w:tc>
              <w:tc>
                <w:tcPr>
                  <w:tcW w:w="804" w:type="pct"/>
                  <w:noWrap w:val="0"/>
                  <w:vAlign w:val="center"/>
                </w:tcPr>
                <w:p w14:paraId="11CFFA41">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运输扬尘</w:t>
                  </w:r>
                </w:p>
              </w:tc>
              <w:tc>
                <w:tcPr>
                  <w:tcW w:w="882" w:type="pct"/>
                  <w:noWrap w:val="0"/>
                  <w:vAlign w:val="center"/>
                </w:tcPr>
                <w:p w14:paraId="380B6024">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运输车辆</w:t>
                  </w:r>
                </w:p>
              </w:tc>
              <w:tc>
                <w:tcPr>
                  <w:tcW w:w="907" w:type="pct"/>
                  <w:noWrap w:val="0"/>
                  <w:vAlign w:val="center"/>
                </w:tcPr>
                <w:p w14:paraId="75719DBB">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粉尘</w:t>
                  </w:r>
                </w:p>
              </w:tc>
              <w:tc>
                <w:tcPr>
                  <w:tcW w:w="1708" w:type="pct"/>
                  <w:noWrap w:val="0"/>
                  <w:vAlign w:val="center"/>
                </w:tcPr>
                <w:p w14:paraId="7AA6B6F8">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default" w:ascii="Times New Roman" w:hAnsi="Times New Roman" w:eastAsia="宋体" w:cs="Times New Roman"/>
                      <w:b w:val="0"/>
                      <w:bCs/>
                      <w:snapToGrid w:val="0"/>
                      <w:sz w:val="18"/>
                      <w:szCs w:val="18"/>
                      <w:lang w:eastAsia="zh-CN"/>
                    </w:rPr>
                    <w:t>道路硬化</w:t>
                  </w:r>
                  <w:r>
                    <w:rPr>
                      <w:rFonts w:hint="eastAsia" w:eastAsia="宋体" w:cs="Times New Roman"/>
                      <w:b w:val="0"/>
                      <w:bCs/>
                      <w:snapToGrid w:val="0"/>
                      <w:sz w:val="18"/>
                      <w:szCs w:val="18"/>
                      <w:lang w:eastAsia="zh-CN"/>
                    </w:rPr>
                    <w:t>，</w:t>
                  </w:r>
                  <w:r>
                    <w:rPr>
                      <w:rFonts w:hint="default" w:ascii="Times New Roman" w:hAnsi="Times New Roman" w:eastAsia="宋体" w:cs="Times New Roman"/>
                      <w:b w:val="0"/>
                      <w:bCs/>
                      <w:snapToGrid w:val="0"/>
                      <w:sz w:val="18"/>
                      <w:szCs w:val="18"/>
                      <w:lang w:eastAsia="zh-CN"/>
                    </w:rPr>
                    <w:t>定期洒水</w:t>
                  </w:r>
                </w:p>
              </w:tc>
            </w:tr>
            <w:tr w14:paraId="2AD91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continue"/>
                  <w:noWrap w:val="0"/>
                  <w:vAlign w:val="center"/>
                </w:tcPr>
                <w:p w14:paraId="50ACFF5D">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p>
              </w:tc>
              <w:tc>
                <w:tcPr>
                  <w:tcW w:w="287" w:type="pct"/>
                  <w:noWrap w:val="0"/>
                  <w:vAlign w:val="center"/>
                </w:tcPr>
                <w:p w14:paraId="7C1CB468">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Times New Roman" w:hAnsi="Times New Roman" w:eastAsia="宋体" w:cs="Times New Roman"/>
                      <w:b w:val="0"/>
                      <w:bCs/>
                      <w:snapToGrid w:val="0"/>
                      <w:sz w:val="18"/>
                      <w:szCs w:val="18"/>
                      <w:lang w:eastAsia="zh-CN"/>
                    </w:rPr>
                  </w:pPr>
                  <w:r>
                    <w:rPr>
                      <w:rFonts w:hint="eastAsia" w:eastAsia="宋体" w:cs="Times New Roman"/>
                      <w:b w:val="0"/>
                      <w:bCs/>
                      <w:snapToGrid w:val="0"/>
                      <w:sz w:val="18"/>
                      <w:szCs w:val="18"/>
                      <w:lang w:val="en-US" w:eastAsia="zh-CN"/>
                    </w:rPr>
                    <w:t>5</w:t>
                  </w:r>
                </w:p>
              </w:tc>
              <w:tc>
                <w:tcPr>
                  <w:tcW w:w="804" w:type="pct"/>
                  <w:noWrap w:val="0"/>
                  <w:vAlign w:val="center"/>
                </w:tcPr>
                <w:p w14:paraId="4F916B69">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动力机械燃油尾气</w:t>
                  </w:r>
                </w:p>
              </w:tc>
              <w:tc>
                <w:tcPr>
                  <w:tcW w:w="882" w:type="pct"/>
                  <w:noWrap w:val="0"/>
                  <w:vAlign w:val="center"/>
                </w:tcPr>
                <w:p w14:paraId="37DDAD1E">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动力机械及运输汽车尾气</w:t>
                  </w:r>
                </w:p>
              </w:tc>
              <w:tc>
                <w:tcPr>
                  <w:tcW w:w="907" w:type="pct"/>
                  <w:noWrap w:val="0"/>
                  <w:vAlign w:val="center"/>
                </w:tcPr>
                <w:p w14:paraId="20BD2AD1">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烟尘、C</w:t>
                  </w:r>
                  <w:r>
                    <w:rPr>
                      <w:rFonts w:hint="default" w:ascii="Times New Roman" w:hAnsi="Times New Roman" w:eastAsia="宋体" w:cs="Times New Roman"/>
                      <w:b w:val="0"/>
                      <w:bCs/>
                      <w:snapToGrid w:val="0"/>
                      <w:sz w:val="18"/>
                      <w:szCs w:val="18"/>
                      <w:vertAlign w:val="subscript"/>
                    </w:rPr>
                    <w:t>n</w:t>
                  </w:r>
                  <w:r>
                    <w:rPr>
                      <w:rFonts w:hint="default" w:ascii="Times New Roman" w:hAnsi="Times New Roman" w:eastAsia="宋体" w:cs="Times New Roman"/>
                      <w:b w:val="0"/>
                      <w:bCs/>
                      <w:snapToGrid w:val="0"/>
                      <w:sz w:val="18"/>
                      <w:szCs w:val="18"/>
                    </w:rPr>
                    <w:t>H</w:t>
                  </w:r>
                  <w:r>
                    <w:rPr>
                      <w:rFonts w:hint="default" w:ascii="Times New Roman" w:hAnsi="Times New Roman" w:eastAsia="宋体" w:cs="Times New Roman"/>
                      <w:b w:val="0"/>
                      <w:bCs/>
                      <w:snapToGrid w:val="0"/>
                      <w:sz w:val="18"/>
                      <w:szCs w:val="18"/>
                      <w:vertAlign w:val="subscript"/>
                    </w:rPr>
                    <w:t>m</w:t>
                  </w:r>
                  <w:r>
                    <w:rPr>
                      <w:rFonts w:hint="default" w:ascii="Times New Roman" w:hAnsi="Times New Roman" w:eastAsia="宋体" w:cs="Times New Roman"/>
                      <w:b w:val="0"/>
                      <w:bCs/>
                      <w:snapToGrid w:val="0"/>
                      <w:sz w:val="18"/>
                      <w:szCs w:val="18"/>
                    </w:rPr>
                    <w:t>、NO</w:t>
                  </w:r>
                  <w:r>
                    <w:rPr>
                      <w:rFonts w:hint="default" w:ascii="Times New Roman" w:hAnsi="Times New Roman" w:eastAsia="宋体" w:cs="Times New Roman"/>
                      <w:b w:val="0"/>
                      <w:bCs/>
                      <w:snapToGrid w:val="0"/>
                      <w:sz w:val="18"/>
                      <w:szCs w:val="18"/>
                      <w:vertAlign w:val="subscript"/>
                    </w:rPr>
                    <w:t>x</w:t>
                  </w:r>
                </w:p>
              </w:tc>
              <w:tc>
                <w:tcPr>
                  <w:tcW w:w="1708" w:type="pct"/>
                  <w:noWrap w:val="0"/>
                  <w:vAlign w:val="center"/>
                </w:tcPr>
                <w:p w14:paraId="15513DEF">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z w:val="18"/>
                      <w:szCs w:val="18"/>
                    </w:rPr>
                    <w:t>空气稀散</w:t>
                  </w:r>
                </w:p>
              </w:tc>
            </w:tr>
            <w:tr w14:paraId="41AA1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restart"/>
                  <w:tcBorders>
                    <w:top w:val="single" w:color="auto" w:sz="4" w:space="0"/>
                  </w:tcBorders>
                  <w:noWrap w:val="0"/>
                  <w:vAlign w:val="center"/>
                </w:tcPr>
                <w:p w14:paraId="786E35CB">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废水</w:t>
                  </w:r>
                </w:p>
              </w:tc>
              <w:tc>
                <w:tcPr>
                  <w:tcW w:w="287" w:type="pct"/>
                  <w:noWrap w:val="0"/>
                  <w:vAlign w:val="center"/>
                </w:tcPr>
                <w:p w14:paraId="1A31C494">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1</w:t>
                  </w:r>
                </w:p>
              </w:tc>
              <w:tc>
                <w:tcPr>
                  <w:tcW w:w="804" w:type="pct"/>
                  <w:noWrap w:val="0"/>
                  <w:vAlign w:val="center"/>
                </w:tcPr>
                <w:p w14:paraId="416D4F73">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生产废水</w:t>
                  </w:r>
                </w:p>
              </w:tc>
              <w:tc>
                <w:tcPr>
                  <w:tcW w:w="882" w:type="pct"/>
                  <w:noWrap w:val="0"/>
                  <w:vAlign w:val="center"/>
                </w:tcPr>
                <w:p w14:paraId="485EE429">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default" w:ascii="Times New Roman" w:hAnsi="Times New Roman" w:eastAsia="宋体" w:cs="Times New Roman"/>
                      <w:b w:val="0"/>
                      <w:bCs/>
                      <w:snapToGrid w:val="0"/>
                      <w:sz w:val="18"/>
                      <w:szCs w:val="18"/>
                      <w:lang w:eastAsia="zh-CN"/>
                    </w:rPr>
                    <w:t>切割分离用水、矿区抑尘用水</w:t>
                  </w:r>
                </w:p>
              </w:tc>
              <w:tc>
                <w:tcPr>
                  <w:tcW w:w="907" w:type="pct"/>
                  <w:noWrap w:val="0"/>
                  <w:vAlign w:val="center"/>
                </w:tcPr>
                <w:p w14:paraId="77A9D583">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主要为SS</w:t>
                  </w:r>
                </w:p>
              </w:tc>
              <w:tc>
                <w:tcPr>
                  <w:tcW w:w="1708" w:type="pct"/>
                  <w:noWrap w:val="0"/>
                  <w:vAlign w:val="center"/>
                </w:tcPr>
                <w:p w14:paraId="0B460E61">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val="en-US"/>
                    </w:rPr>
                  </w:pPr>
                  <w:r>
                    <w:rPr>
                      <w:rFonts w:hint="default" w:ascii="Times New Roman" w:hAnsi="Times New Roman" w:eastAsia="宋体" w:cs="Times New Roman"/>
                      <w:b w:val="0"/>
                      <w:bCs/>
                      <w:snapToGrid w:val="0"/>
                      <w:sz w:val="18"/>
                      <w:szCs w:val="18"/>
                      <w:lang w:eastAsia="zh-CN"/>
                    </w:rPr>
                    <w:t>生产废水经由污水排水沟收集至矿区污水收集池沉淀处理后回用生产；处理规模</w:t>
                  </w:r>
                  <w:r>
                    <w:rPr>
                      <w:rFonts w:hint="eastAsia" w:eastAsia="宋体" w:cs="Times New Roman"/>
                      <w:b w:val="0"/>
                      <w:bCs/>
                      <w:snapToGrid w:val="0"/>
                      <w:sz w:val="18"/>
                      <w:szCs w:val="18"/>
                      <w:lang w:val="en-US" w:eastAsia="zh-CN"/>
                    </w:rPr>
                    <w:t>4500</w:t>
                  </w:r>
                  <w:r>
                    <w:rPr>
                      <w:rFonts w:hint="default" w:ascii="Times New Roman" w:hAnsi="Times New Roman" w:eastAsia="宋体" w:cs="Times New Roman"/>
                      <w:b w:val="0"/>
                      <w:bCs/>
                      <w:snapToGrid w:val="0"/>
                      <w:sz w:val="18"/>
                      <w:szCs w:val="18"/>
                      <w:lang w:val="en-US" w:eastAsia="zh-CN"/>
                    </w:rPr>
                    <w:t>m</w:t>
                  </w:r>
                  <w:r>
                    <w:rPr>
                      <w:rFonts w:hint="default" w:ascii="Times New Roman" w:hAnsi="Times New Roman" w:eastAsia="宋体" w:cs="Times New Roman"/>
                      <w:b w:val="0"/>
                      <w:bCs/>
                      <w:snapToGrid w:val="0"/>
                      <w:sz w:val="18"/>
                      <w:szCs w:val="18"/>
                      <w:vertAlign w:val="superscript"/>
                      <w:lang w:val="en-US" w:eastAsia="zh-CN"/>
                    </w:rPr>
                    <w:t>3</w:t>
                  </w:r>
                  <w:r>
                    <w:rPr>
                      <w:rFonts w:hint="default" w:ascii="Times New Roman" w:hAnsi="Times New Roman" w:eastAsia="宋体" w:cs="Times New Roman"/>
                      <w:b w:val="0"/>
                      <w:bCs/>
                      <w:snapToGrid w:val="0"/>
                      <w:sz w:val="18"/>
                      <w:szCs w:val="18"/>
                      <w:lang w:val="en-US" w:eastAsia="zh-CN"/>
                    </w:rPr>
                    <w:t>/</w:t>
                  </w:r>
                  <w:r>
                    <w:rPr>
                      <w:rFonts w:hint="eastAsia" w:eastAsia="宋体" w:cs="Times New Roman"/>
                      <w:b w:val="0"/>
                      <w:bCs/>
                      <w:snapToGrid w:val="0"/>
                      <w:sz w:val="18"/>
                      <w:szCs w:val="18"/>
                      <w:lang w:val="en-US" w:eastAsia="zh-CN"/>
                    </w:rPr>
                    <w:t>d</w:t>
                  </w:r>
                  <w:r>
                    <w:rPr>
                      <w:rFonts w:hint="default" w:ascii="Times New Roman" w:hAnsi="Times New Roman" w:eastAsia="宋体" w:cs="Times New Roman"/>
                      <w:b w:val="0"/>
                      <w:bCs/>
                      <w:snapToGrid w:val="0"/>
                      <w:sz w:val="18"/>
                      <w:szCs w:val="18"/>
                      <w:lang w:val="en-US" w:eastAsia="zh-CN"/>
                    </w:rPr>
                    <w:t>，废水（除损耗外）回用率100%</w:t>
                  </w:r>
                </w:p>
              </w:tc>
            </w:tr>
            <w:tr w14:paraId="149B9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continue"/>
                  <w:noWrap w:val="0"/>
                  <w:vAlign w:val="center"/>
                </w:tcPr>
                <w:p w14:paraId="0D4F0CF5">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p>
              </w:tc>
              <w:tc>
                <w:tcPr>
                  <w:tcW w:w="287" w:type="pct"/>
                  <w:noWrap w:val="0"/>
                  <w:vAlign w:val="center"/>
                </w:tcPr>
                <w:p w14:paraId="1875A44B">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val="en-US" w:eastAsia="zh-CN"/>
                    </w:rPr>
                  </w:pPr>
                  <w:r>
                    <w:rPr>
                      <w:rFonts w:hint="default" w:ascii="Times New Roman" w:hAnsi="Times New Roman" w:eastAsia="宋体" w:cs="Times New Roman"/>
                      <w:b w:val="0"/>
                      <w:bCs/>
                      <w:snapToGrid w:val="0"/>
                      <w:sz w:val="18"/>
                      <w:szCs w:val="18"/>
                      <w:lang w:val="en-US" w:eastAsia="zh-CN"/>
                    </w:rPr>
                    <w:t>2</w:t>
                  </w:r>
                </w:p>
              </w:tc>
              <w:tc>
                <w:tcPr>
                  <w:tcW w:w="804" w:type="pct"/>
                  <w:noWrap w:val="0"/>
                  <w:vAlign w:val="center"/>
                </w:tcPr>
                <w:p w14:paraId="19C65794">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eastAsia" w:eastAsia="宋体" w:cs="Times New Roman"/>
                      <w:b w:val="0"/>
                      <w:bCs/>
                      <w:snapToGrid w:val="0"/>
                      <w:sz w:val="18"/>
                      <w:szCs w:val="18"/>
                      <w:lang w:val="en-US" w:eastAsia="zh-CN"/>
                    </w:rPr>
                    <w:t>初期雨水</w:t>
                  </w:r>
                </w:p>
              </w:tc>
              <w:tc>
                <w:tcPr>
                  <w:tcW w:w="882" w:type="pct"/>
                  <w:noWrap w:val="0"/>
                  <w:vAlign w:val="center"/>
                </w:tcPr>
                <w:p w14:paraId="30068018">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val="en-US" w:eastAsia="zh-CN"/>
                    </w:rPr>
                  </w:pPr>
                  <w:r>
                    <w:rPr>
                      <w:rFonts w:hint="eastAsia" w:eastAsia="宋体" w:cs="Times New Roman"/>
                      <w:b w:val="0"/>
                      <w:bCs/>
                      <w:snapToGrid w:val="0"/>
                      <w:sz w:val="18"/>
                      <w:szCs w:val="18"/>
                      <w:lang w:val="en-US" w:eastAsia="zh-CN"/>
                    </w:rPr>
                    <w:t>矿区裸露地表</w:t>
                  </w:r>
                </w:p>
              </w:tc>
              <w:tc>
                <w:tcPr>
                  <w:tcW w:w="907" w:type="pct"/>
                  <w:noWrap w:val="0"/>
                  <w:vAlign w:val="center"/>
                </w:tcPr>
                <w:p w14:paraId="31CB566F">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主要为SS</w:t>
                  </w:r>
                </w:p>
              </w:tc>
              <w:tc>
                <w:tcPr>
                  <w:tcW w:w="1708" w:type="pct"/>
                  <w:noWrap w:val="0"/>
                  <w:vAlign w:val="center"/>
                </w:tcPr>
                <w:p w14:paraId="5CC7AD39">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default" w:ascii="Times New Roman" w:hAnsi="Times New Roman" w:eastAsia="宋体" w:cs="Times New Roman"/>
                      <w:b w:val="0"/>
                      <w:bCs/>
                      <w:snapToGrid w:val="0"/>
                      <w:sz w:val="18"/>
                      <w:szCs w:val="18"/>
                      <w:lang w:val="en-US" w:eastAsia="zh-CN"/>
                    </w:rPr>
                    <w:t>雨水由雨水收集池和后备雨水池收集处理后回用于生产</w:t>
                  </w:r>
                  <w:r>
                    <w:rPr>
                      <w:rFonts w:hint="eastAsia" w:eastAsia="宋体" w:cs="Times New Roman"/>
                      <w:b w:val="0"/>
                      <w:bCs/>
                      <w:snapToGrid w:val="0"/>
                      <w:sz w:val="18"/>
                      <w:szCs w:val="18"/>
                      <w:lang w:val="en-US" w:eastAsia="zh-CN"/>
                    </w:rPr>
                    <w:t>。</w:t>
                  </w:r>
                </w:p>
              </w:tc>
            </w:tr>
            <w:tr w14:paraId="52DED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continue"/>
                  <w:noWrap w:val="0"/>
                  <w:vAlign w:val="center"/>
                </w:tcPr>
                <w:p w14:paraId="235410CF">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p>
              </w:tc>
              <w:tc>
                <w:tcPr>
                  <w:tcW w:w="287" w:type="pct"/>
                  <w:noWrap w:val="0"/>
                  <w:vAlign w:val="center"/>
                </w:tcPr>
                <w:p w14:paraId="53B36CCD">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eastAsia" w:eastAsia="宋体" w:cs="Times New Roman"/>
                      <w:b w:val="0"/>
                      <w:bCs/>
                      <w:snapToGrid w:val="0"/>
                      <w:sz w:val="18"/>
                      <w:szCs w:val="18"/>
                      <w:lang w:val="en-US" w:eastAsia="zh-CN"/>
                    </w:rPr>
                    <w:t>3</w:t>
                  </w:r>
                </w:p>
              </w:tc>
              <w:tc>
                <w:tcPr>
                  <w:tcW w:w="804" w:type="pct"/>
                  <w:noWrap w:val="0"/>
                  <w:vAlign w:val="center"/>
                </w:tcPr>
                <w:p w14:paraId="608329A9">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生活污水</w:t>
                  </w:r>
                </w:p>
              </w:tc>
              <w:tc>
                <w:tcPr>
                  <w:tcW w:w="882" w:type="pct"/>
                  <w:noWrap w:val="0"/>
                  <w:vAlign w:val="center"/>
                </w:tcPr>
                <w:p w14:paraId="28192B98">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职工办公生活、食堂</w:t>
                  </w:r>
                </w:p>
              </w:tc>
              <w:tc>
                <w:tcPr>
                  <w:tcW w:w="907" w:type="pct"/>
                  <w:noWrap w:val="0"/>
                  <w:vAlign w:val="center"/>
                </w:tcPr>
                <w:p w14:paraId="2021D2D1">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COD、BOD</w:t>
                  </w:r>
                  <w:r>
                    <w:rPr>
                      <w:rFonts w:hint="default" w:ascii="Times New Roman" w:hAnsi="Times New Roman" w:eastAsia="宋体" w:cs="Times New Roman"/>
                      <w:b w:val="0"/>
                      <w:bCs/>
                      <w:snapToGrid w:val="0"/>
                      <w:sz w:val="18"/>
                      <w:szCs w:val="18"/>
                      <w:vertAlign w:val="subscript"/>
                    </w:rPr>
                    <w:t>5</w:t>
                  </w:r>
                  <w:r>
                    <w:rPr>
                      <w:rFonts w:hint="default" w:ascii="Times New Roman" w:hAnsi="Times New Roman" w:eastAsia="宋体" w:cs="Times New Roman"/>
                      <w:b w:val="0"/>
                      <w:bCs/>
                      <w:snapToGrid w:val="0"/>
                      <w:sz w:val="18"/>
                      <w:szCs w:val="18"/>
                    </w:rPr>
                    <w:t>、氨氮、SS、动植物油</w:t>
                  </w:r>
                </w:p>
              </w:tc>
              <w:tc>
                <w:tcPr>
                  <w:tcW w:w="1708" w:type="pct"/>
                  <w:noWrap w:val="0"/>
                  <w:vAlign w:val="center"/>
                </w:tcPr>
                <w:p w14:paraId="1275A7CB">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default" w:ascii="Times New Roman" w:hAnsi="Times New Roman" w:eastAsia="宋体" w:cs="Times New Roman"/>
                      <w:b w:val="0"/>
                      <w:bCs/>
                      <w:snapToGrid w:val="0"/>
                      <w:sz w:val="18"/>
                      <w:szCs w:val="18"/>
                      <w:lang w:eastAsia="zh-CN"/>
                    </w:rPr>
                    <w:t>一体化污水处理设备处理后</w:t>
                  </w:r>
                  <w:r>
                    <w:rPr>
                      <w:rFonts w:hint="eastAsia" w:eastAsia="宋体" w:cs="Times New Roman"/>
                      <w:b w:val="0"/>
                      <w:bCs/>
                      <w:snapToGrid w:val="0"/>
                      <w:sz w:val="18"/>
                      <w:szCs w:val="18"/>
                      <w:lang w:val="en-US" w:eastAsia="zh-CN"/>
                    </w:rPr>
                    <w:t>回用</w:t>
                  </w:r>
                </w:p>
              </w:tc>
            </w:tr>
            <w:tr w14:paraId="6D4EC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restart"/>
                  <w:noWrap w:val="0"/>
                  <w:vAlign w:val="center"/>
                </w:tcPr>
                <w:p w14:paraId="4B844648">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噪声</w:t>
                  </w:r>
                </w:p>
              </w:tc>
              <w:tc>
                <w:tcPr>
                  <w:tcW w:w="287" w:type="pct"/>
                  <w:noWrap w:val="0"/>
                  <w:vAlign w:val="center"/>
                </w:tcPr>
                <w:p w14:paraId="09BE1CBC">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1</w:t>
                  </w:r>
                </w:p>
              </w:tc>
              <w:tc>
                <w:tcPr>
                  <w:tcW w:w="804" w:type="pct"/>
                  <w:noWrap w:val="0"/>
                  <w:vAlign w:val="center"/>
                </w:tcPr>
                <w:p w14:paraId="33F2FA7A">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机械设备噪声</w:t>
                  </w:r>
                </w:p>
              </w:tc>
              <w:tc>
                <w:tcPr>
                  <w:tcW w:w="882" w:type="pct"/>
                  <w:noWrap w:val="0"/>
                  <w:vAlign w:val="center"/>
                </w:tcPr>
                <w:p w14:paraId="013350C7">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Times New Roman" w:hAnsi="Times New Roman" w:eastAsia="宋体" w:cs="Times New Roman"/>
                      <w:b w:val="0"/>
                      <w:bCs/>
                      <w:snapToGrid w:val="0"/>
                      <w:sz w:val="18"/>
                      <w:szCs w:val="18"/>
                      <w:lang w:eastAsia="zh-CN"/>
                    </w:rPr>
                  </w:pPr>
                  <w:r>
                    <w:rPr>
                      <w:rFonts w:hint="eastAsia" w:eastAsia="宋体" w:cs="Times New Roman"/>
                      <w:b w:val="0"/>
                      <w:bCs/>
                      <w:snapToGrid w:val="0"/>
                      <w:sz w:val="18"/>
                      <w:szCs w:val="18"/>
                      <w:lang w:val="en-US" w:eastAsia="zh-CN"/>
                    </w:rPr>
                    <w:t>生产机械</w:t>
                  </w:r>
                </w:p>
              </w:tc>
              <w:tc>
                <w:tcPr>
                  <w:tcW w:w="907" w:type="pct"/>
                  <w:noWrap w:val="0"/>
                  <w:vAlign w:val="center"/>
                </w:tcPr>
                <w:p w14:paraId="7D710543">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等效连续A声级</w:t>
                  </w:r>
                </w:p>
              </w:tc>
              <w:tc>
                <w:tcPr>
                  <w:tcW w:w="1708" w:type="pct"/>
                  <w:noWrap w:val="0"/>
                  <w:vAlign w:val="center"/>
                </w:tcPr>
                <w:p w14:paraId="6CF511B1">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default" w:ascii="Times New Roman" w:hAnsi="Times New Roman" w:eastAsia="宋体" w:cs="Times New Roman"/>
                      <w:b w:val="0"/>
                      <w:bCs/>
                      <w:snapToGrid w:val="0"/>
                      <w:sz w:val="18"/>
                      <w:szCs w:val="18"/>
                      <w:lang w:eastAsia="zh-CN"/>
                    </w:rPr>
                    <w:t>基础减震、绿化隔声等措施；配低音喇叭，合理安排工作时间。</w:t>
                  </w:r>
                </w:p>
              </w:tc>
            </w:tr>
            <w:tr w14:paraId="1F73E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continue"/>
                  <w:noWrap w:val="0"/>
                  <w:vAlign w:val="center"/>
                </w:tcPr>
                <w:p w14:paraId="6F30A7C0">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p>
              </w:tc>
              <w:tc>
                <w:tcPr>
                  <w:tcW w:w="287" w:type="pct"/>
                  <w:noWrap w:val="0"/>
                  <w:vAlign w:val="center"/>
                </w:tcPr>
                <w:p w14:paraId="590A81C3">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lang w:val="en-US" w:eastAsia="zh-CN"/>
                    </w:rPr>
                    <w:t>2</w:t>
                  </w:r>
                </w:p>
              </w:tc>
              <w:tc>
                <w:tcPr>
                  <w:tcW w:w="804" w:type="pct"/>
                  <w:noWrap w:val="0"/>
                  <w:vAlign w:val="center"/>
                </w:tcPr>
                <w:p w14:paraId="49D10177">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运输车辆噪声</w:t>
                  </w:r>
                </w:p>
              </w:tc>
              <w:tc>
                <w:tcPr>
                  <w:tcW w:w="882" w:type="pct"/>
                  <w:noWrap w:val="0"/>
                  <w:vAlign w:val="center"/>
                </w:tcPr>
                <w:p w14:paraId="09060FC7">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载重车辆</w:t>
                  </w:r>
                </w:p>
              </w:tc>
              <w:tc>
                <w:tcPr>
                  <w:tcW w:w="907" w:type="pct"/>
                  <w:noWrap w:val="0"/>
                  <w:vAlign w:val="center"/>
                </w:tcPr>
                <w:p w14:paraId="20ACC828">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default" w:ascii="Times New Roman" w:hAnsi="Times New Roman" w:eastAsia="宋体" w:cs="Times New Roman"/>
                      <w:b w:val="0"/>
                      <w:bCs/>
                      <w:snapToGrid w:val="0"/>
                      <w:sz w:val="18"/>
                      <w:szCs w:val="18"/>
                    </w:rPr>
                    <w:t>等效连续A声级</w:t>
                  </w:r>
                </w:p>
              </w:tc>
              <w:tc>
                <w:tcPr>
                  <w:tcW w:w="1708" w:type="pct"/>
                  <w:noWrap w:val="0"/>
                  <w:vAlign w:val="center"/>
                </w:tcPr>
                <w:p w14:paraId="03D03C24">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default" w:ascii="Times New Roman" w:hAnsi="Times New Roman" w:eastAsia="宋体" w:cs="Times New Roman"/>
                      <w:b w:val="0"/>
                      <w:bCs/>
                      <w:snapToGrid w:val="0"/>
                      <w:sz w:val="18"/>
                      <w:szCs w:val="18"/>
                      <w:lang w:eastAsia="zh-CN"/>
                    </w:rPr>
                    <w:t>限速、合理安排运输时间</w:t>
                  </w:r>
                </w:p>
              </w:tc>
            </w:tr>
            <w:tr w14:paraId="0AEF5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restart"/>
                  <w:noWrap w:val="0"/>
                  <w:vAlign w:val="center"/>
                </w:tcPr>
                <w:p w14:paraId="03F00E9A">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固体</w:t>
                  </w:r>
                </w:p>
                <w:p w14:paraId="578C95FC">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废物</w:t>
                  </w:r>
                </w:p>
              </w:tc>
              <w:tc>
                <w:tcPr>
                  <w:tcW w:w="287" w:type="pct"/>
                  <w:noWrap w:val="0"/>
                  <w:vAlign w:val="center"/>
                </w:tcPr>
                <w:p w14:paraId="38ED202F">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1</w:t>
                  </w:r>
                </w:p>
              </w:tc>
              <w:tc>
                <w:tcPr>
                  <w:tcW w:w="804" w:type="pct"/>
                  <w:noWrap w:val="0"/>
                  <w:vAlign w:val="center"/>
                </w:tcPr>
                <w:p w14:paraId="7E3B7924">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剥离的表土和风化层、废料</w:t>
                  </w:r>
                </w:p>
              </w:tc>
              <w:tc>
                <w:tcPr>
                  <w:tcW w:w="882" w:type="pct"/>
                  <w:noWrap w:val="0"/>
                  <w:vAlign w:val="center"/>
                </w:tcPr>
                <w:p w14:paraId="63DF14E6">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表土剥离</w:t>
                  </w:r>
                </w:p>
              </w:tc>
              <w:tc>
                <w:tcPr>
                  <w:tcW w:w="907" w:type="pct"/>
                  <w:noWrap w:val="0"/>
                  <w:vAlign w:val="center"/>
                </w:tcPr>
                <w:p w14:paraId="7A6FA520">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w:t>
                  </w:r>
                </w:p>
              </w:tc>
              <w:tc>
                <w:tcPr>
                  <w:tcW w:w="1708" w:type="pct"/>
                  <w:noWrap w:val="0"/>
                  <w:vAlign w:val="center"/>
                </w:tcPr>
                <w:p w14:paraId="46B99FD3">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default" w:ascii="Times New Roman" w:hAnsi="Times New Roman" w:eastAsia="宋体" w:cs="Times New Roman"/>
                      <w:b w:val="0"/>
                      <w:bCs/>
                      <w:snapToGrid w:val="0"/>
                      <w:sz w:val="18"/>
                      <w:szCs w:val="18"/>
                      <w:lang w:eastAsia="zh-CN"/>
                    </w:rPr>
                    <w:t>表土用于矿山开采及闭坑后复垦复绿；风化层、废料由山下碎石加工企业直接运输至建筑石料加工场地</w:t>
                  </w:r>
                </w:p>
              </w:tc>
            </w:tr>
            <w:tr w14:paraId="02790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continue"/>
                  <w:noWrap w:val="0"/>
                  <w:vAlign w:val="center"/>
                </w:tcPr>
                <w:p w14:paraId="1E273183">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p>
              </w:tc>
              <w:tc>
                <w:tcPr>
                  <w:tcW w:w="287" w:type="pct"/>
                  <w:noWrap w:val="0"/>
                  <w:vAlign w:val="center"/>
                </w:tcPr>
                <w:p w14:paraId="74BCC86E">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default" w:ascii="Times New Roman" w:hAnsi="Times New Roman" w:eastAsia="宋体" w:cs="Times New Roman"/>
                      <w:b w:val="0"/>
                      <w:bCs/>
                      <w:snapToGrid w:val="0"/>
                      <w:sz w:val="18"/>
                      <w:szCs w:val="18"/>
                      <w:lang w:val="en-US" w:eastAsia="zh-CN"/>
                    </w:rPr>
                    <w:t>2</w:t>
                  </w:r>
                </w:p>
              </w:tc>
              <w:tc>
                <w:tcPr>
                  <w:tcW w:w="804" w:type="pct"/>
                  <w:noWrap w:val="0"/>
                  <w:vAlign w:val="center"/>
                </w:tcPr>
                <w:p w14:paraId="170FEA78">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生活垃圾</w:t>
                  </w:r>
                </w:p>
              </w:tc>
              <w:tc>
                <w:tcPr>
                  <w:tcW w:w="882" w:type="pct"/>
                  <w:noWrap w:val="0"/>
                  <w:vAlign w:val="center"/>
                </w:tcPr>
                <w:p w14:paraId="31F4BFB4">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职工办公生活</w:t>
                  </w:r>
                </w:p>
              </w:tc>
              <w:tc>
                <w:tcPr>
                  <w:tcW w:w="907" w:type="pct"/>
                  <w:noWrap w:val="0"/>
                  <w:vAlign w:val="center"/>
                </w:tcPr>
                <w:p w14:paraId="6E13D520">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w:t>
                  </w:r>
                </w:p>
              </w:tc>
              <w:tc>
                <w:tcPr>
                  <w:tcW w:w="1708" w:type="pct"/>
                  <w:noWrap w:val="0"/>
                  <w:vAlign w:val="center"/>
                </w:tcPr>
                <w:p w14:paraId="2E75BDDE">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default" w:ascii="Times New Roman" w:hAnsi="Times New Roman" w:eastAsia="宋体" w:cs="Times New Roman"/>
                      <w:b w:val="0"/>
                      <w:bCs/>
                      <w:snapToGrid w:val="0"/>
                      <w:sz w:val="18"/>
                      <w:szCs w:val="18"/>
                      <w:lang w:eastAsia="zh-CN"/>
                    </w:rPr>
                    <w:t>交环卫部门处理</w:t>
                  </w:r>
                </w:p>
              </w:tc>
            </w:tr>
            <w:tr w14:paraId="2CDE3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continue"/>
                  <w:noWrap w:val="0"/>
                  <w:vAlign w:val="center"/>
                </w:tcPr>
                <w:p w14:paraId="11E3D278">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p>
              </w:tc>
              <w:tc>
                <w:tcPr>
                  <w:tcW w:w="287" w:type="pct"/>
                  <w:noWrap w:val="0"/>
                  <w:vAlign w:val="center"/>
                </w:tcPr>
                <w:p w14:paraId="12E74760">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default" w:ascii="Times New Roman" w:hAnsi="Times New Roman" w:eastAsia="宋体" w:cs="Times New Roman"/>
                      <w:b w:val="0"/>
                      <w:bCs/>
                      <w:snapToGrid w:val="0"/>
                      <w:sz w:val="18"/>
                      <w:szCs w:val="18"/>
                      <w:lang w:val="en-US" w:eastAsia="zh-CN"/>
                    </w:rPr>
                    <w:t>3</w:t>
                  </w:r>
                </w:p>
              </w:tc>
              <w:tc>
                <w:tcPr>
                  <w:tcW w:w="804" w:type="pct"/>
                  <w:noWrap w:val="0"/>
                  <w:vAlign w:val="center"/>
                </w:tcPr>
                <w:p w14:paraId="6C8571F2">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color w:val="000000"/>
                      <w:sz w:val="18"/>
                      <w:szCs w:val="18"/>
                    </w:rPr>
                    <w:t>含油废手套及废抹布</w:t>
                  </w:r>
                </w:p>
              </w:tc>
              <w:tc>
                <w:tcPr>
                  <w:tcW w:w="882" w:type="pct"/>
                  <w:noWrap w:val="0"/>
                  <w:vAlign w:val="center"/>
                </w:tcPr>
                <w:p w14:paraId="0AF67500">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color w:val="000000"/>
                      <w:sz w:val="18"/>
                      <w:szCs w:val="18"/>
                    </w:rPr>
                    <w:t>维修车间</w:t>
                  </w:r>
                </w:p>
              </w:tc>
              <w:tc>
                <w:tcPr>
                  <w:tcW w:w="907" w:type="pct"/>
                  <w:noWrap w:val="0"/>
                  <w:vAlign w:val="center"/>
                </w:tcPr>
                <w:p w14:paraId="6AB3990C">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w:t>
                  </w:r>
                </w:p>
              </w:tc>
              <w:tc>
                <w:tcPr>
                  <w:tcW w:w="1708" w:type="pct"/>
                  <w:vMerge w:val="restart"/>
                  <w:noWrap w:val="0"/>
                  <w:vAlign w:val="center"/>
                </w:tcPr>
                <w:p w14:paraId="36475614">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val="en-US" w:eastAsia="zh-CN"/>
                    </w:rPr>
                  </w:pPr>
                  <w:r>
                    <w:rPr>
                      <w:rFonts w:hint="default" w:ascii="Times New Roman" w:hAnsi="Times New Roman" w:eastAsia="宋体" w:cs="Times New Roman"/>
                      <w:b w:val="0"/>
                      <w:bCs/>
                      <w:snapToGrid w:val="0"/>
                      <w:sz w:val="18"/>
                      <w:szCs w:val="18"/>
                      <w:lang w:val="en-US" w:eastAsia="zh-CN"/>
                    </w:rPr>
                    <w:t>暂存于危废暂存间，交由有资质单位处置</w:t>
                  </w:r>
                </w:p>
              </w:tc>
            </w:tr>
            <w:tr w14:paraId="2C3CF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continue"/>
                  <w:noWrap w:val="0"/>
                  <w:vAlign w:val="center"/>
                </w:tcPr>
                <w:p w14:paraId="061F7446">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p>
              </w:tc>
              <w:tc>
                <w:tcPr>
                  <w:tcW w:w="287" w:type="pct"/>
                  <w:noWrap w:val="0"/>
                  <w:vAlign w:val="center"/>
                </w:tcPr>
                <w:p w14:paraId="160F16AF">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default" w:ascii="Times New Roman" w:hAnsi="Times New Roman" w:eastAsia="宋体" w:cs="Times New Roman"/>
                      <w:b w:val="0"/>
                      <w:bCs/>
                      <w:snapToGrid w:val="0"/>
                      <w:sz w:val="18"/>
                      <w:szCs w:val="18"/>
                      <w:lang w:val="en-US" w:eastAsia="zh-CN"/>
                    </w:rPr>
                    <w:t>4</w:t>
                  </w:r>
                </w:p>
              </w:tc>
              <w:tc>
                <w:tcPr>
                  <w:tcW w:w="804" w:type="pct"/>
                  <w:noWrap w:val="0"/>
                  <w:vAlign w:val="center"/>
                </w:tcPr>
                <w:p w14:paraId="09866C15">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color w:val="000000"/>
                      <w:sz w:val="18"/>
                      <w:szCs w:val="18"/>
                    </w:rPr>
                    <w:t>废机油</w:t>
                  </w:r>
                </w:p>
              </w:tc>
              <w:tc>
                <w:tcPr>
                  <w:tcW w:w="882" w:type="pct"/>
                  <w:noWrap w:val="0"/>
                  <w:vAlign w:val="center"/>
                </w:tcPr>
                <w:p w14:paraId="003665F0">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val="en-US" w:eastAsia="zh-CN"/>
                    </w:rPr>
                  </w:pPr>
                  <w:r>
                    <w:rPr>
                      <w:rFonts w:hint="default" w:ascii="Times New Roman" w:hAnsi="Times New Roman" w:eastAsia="宋体" w:cs="Times New Roman"/>
                      <w:b w:val="0"/>
                      <w:bCs/>
                      <w:snapToGrid w:val="0"/>
                      <w:sz w:val="18"/>
                      <w:szCs w:val="18"/>
                      <w:lang w:val="en-US" w:eastAsia="zh-CN"/>
                    </w:rPr>
                    <w:t>设备维修保养</w:t>
                  </w:r>
                </w:p>
              </w:tc>
              <w:tc>
                <w:tcPr>
                  <w:tcW w:w="907" w:type="pct"/>
                  <w:noWrap w:val="0"/>
                  <w:vAlign w:val="center"/>
                </w:tcPr>
                <w:p w14:paraId="768E26BB">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val="en-US" w:eastAsia="zh-CN"/>
                    </w:rPr>
                  </w:pPr>
                  <w:r>
                    <w:rPr>
                      <w:rFonts w:hint="default" w:ascii="Times New Roman" w:hAnsi="Times New Roman" w:eastAsia="宋体" w:cs="Times New Roman"/>
                      <w:b w:val="0"/>
                      <w:bCs/>
                      <w:snapToGrid w:val="0"/>
                      <w:sz w:val="18"/>
                      <w:szCs w:val="18"/>
                      <w:lang w:val="en-US" w:eastAsia="zh-CN"/>
                    </w:rPr>
                    <w:t>/</w:t>
                  </w:r>
                </w:p>
              </w:tc>
              <w:tc>
                <w:tcPr>
                  <w:tcW w:w="1708" w:type="pct"/>
                  <w:vMerge w:val="continue"/>
                  <w:tcBorders/>
                  <w:noWrap w:val="0"/>
                  <w:vAlign w:val="center"/>
                </w:tcPr>
                <w:p w14:paraId="1C5C3C29">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val="en-US" w:eastAsia="zh-CN"/>
                    </w:rPr>
                  </w:pPr>
                </w:p>
              </w:tc>
            </w:tr>
            <w:tr w14:paraId="4EF5E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continue"/>
                  <w:noWrap w:val="0"/>
                  <w:vAlign w:val="center"/>
                </w:tcPr>
                <w:p w14:paraId="5F24B1E5">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rPr>
                  </w:pPr>
                </w:p>
              </w:tc>
              <w:tc>
                <w:tcPr>
                  <w:tcW w:w="287" w:type="pct"/>
                  <w:noWrap w:val="0"/>
                  <w:vAlign w:val="center"/>
                </w:tcPr>
                <w:p w14:paraId="187BDEE1">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val="en-US" w:eastAsia="zh-CN"/>
                    </w:rPr>
                  </w:pPr>
                  <w:r>
                    <w:rPr>
                      <w:rFonts w:hint="eastAsia" w:eastAsia="宋体" w:cs="Times New Roman"/>
                      <w:b w:val="0"/>
                      <w:bCs/>
                      <w:snapToGrid w:val="0"/>
                      <w:sz w:val="18"/>
                      <w:szCs w:val="18"/>
                      <w:lang w:val="en-US" w:eastAsia="zh-CN"/>
                    </w:rPr>
                    <w:t>5</w:t>
                  </w:r>
                </w:p>
              </w:tc>
              <w:tc>
                <w:tcPr>
                  <w:tcW w:w="804" w:type="pct"/>
                  <w:noWrap w:val="0"/>
                  <w:vAlign w:val="center"/>
                </w:tcPr>
                <w:p w14:paraId="6298D647">
                  <w:pPr>
                    <w:pStyle w:val="30"/>
                    <w:spacing w:beforeLines="0" w:afterLines="0" w:line="240" w:lineRule="auto"/>
                    <w:ind w:left="0" w:leftChars="0" w:firstLine="180" w:firstLineChars="100"/>
                    <w:jc w:val="both"/>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lang w:eastAsia="zh-CN"/>
                    </w:rPr>
                    <w:t>沉淀池污泥</w:t>
                  </w:r>
                </w:p>
              </w:tc>
              <w:tc>
                <w:tcPr>
                  <w:tcW w:w="882" w:type="pct"/>
                  <w:noWrap w:val="0"/>
                  <w:vAlign w:val="center"/>
                </w:tcPr>
                <w:p w14:paraId="71D7B6B9">
                  <w:pPr>
                    <w:pStyle w:val="30"/>
                    <w:spacing w:beforeLines="0" w:afterLines="0" w:line="240" w:lineRule="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废水处理</w:t>
                  </w:r>
                </w:p>
              </w:tc>
              <w:tc>
                <w:tcPr>
                  <w:tcW w:w="907" w:type="pct"/>
                  <w:noWrap w:val="0"/>
                  <w:vAlign w:val="center"/>
                </w:tcPr>
                <w:p w14:paraId="48CE4154">
                  <w:pPr>
                    <w:pStyle w:val="30"/>
                    <w:spacing w:beforeLines="0" w:afterLines="0" w:line="240" w:lineRule="auto"/>
                    <w:rPr>
                      <w:rFonts w:hint="default" w:ascii="Times New Roman" w:hAnsi="Times New Roman" w:eastAsia="宋体" w:cs="Times New Roman"/>
                      <w:b w:val="0"/>
                      <w:bCs/>
                      <w:snapToGrid w:val="0"/>
                      <w:sz w:val="18"/>
                      <w:szCs w:val="18"/>
                    </w:rPr>
                  </w:pPr>
                  <w:r>
                    <w:rPr>
                      <w:rFonts w:hint="default" w:ascii="Times New Roman" w:hAnsi="Times New Roman" w:eastAsia="宋体" w:cs="Times New Roman"/>
                      <w:b w:val="0"/>
                      <w:bCs/>
                      <w:snapToGrid w:val="0"/>
                      <w:sz w:val="18"/>
                      <w:szCs w:val="18"/>
                    </w:rPr>
                    <w:t>/</w:t>
                  </w:r>
                </w:p>
              </w:tc>
              <w:tc>
                <w:tcPr>
                  <w:tcW w:w="1708" w:type="pct"/>
                  <w:noWrap w:val="0"/>
                  <w:vAlign w:val="center"/>
                </w:tcPr>
                <w:p w14:paraId="0B487278">
                  <w:pPr>
                    <w:pStyle w:val="3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b w:val="0"/>
                      <w:bCs/>
                      <w:snapToGrid w:val="0"/>
                      <w:sz w:val="18"/>
                      <w:szCs w:val="18"/>
                      <w:lang w:eastAsia="zh-CN"/>
                    </w:rPr>
                  </w:pPr>
                  <w:r>
                    <w:rPr>
                      <w:rFonts w:hint="eastAsia" w:eastAsia="宋体" w:cs="Times New Roman"/>
                      <w:b w:val="0"/>
                      <w:bCs/>
                      <w:snapToGrid w:val="0"/>
                      <w:sz w:val="18"/>
                      <w:szCs w:val="18"/>
                      <w:lang w:val="en-US" w:eastAsia="zh-CN"/>
                    </w:rPr>
                    <w:t>压滤成泥饼，作为建筑材料外售</w:t>
                  </w:r>
                </w:p>
              </w:tc>
            </w:tr>
          </w:tbl>
          <w:p w14:paraId="69DC2B36">
            <w:pPr>
              <w:tabs>
                <w:tab w:val="left" w:pos="3143"/>
              </w:tabs>
              <w:spacing w:line="360" w:lineRule="auto"/>
              <w:jc w:val="both"/>
              <w:rPr>
                <w:rFonts w:hint="default" w:ascii="Times New Roman" w:hAnsi="Times New Roman" w:eastAsia="宋体" w:cs="Times New Roman"/>
                <w:b/>
                <w:sz w:val="24"/>
                <w:lang w:val="en-US" w:eastAsia="zh-CN"/>
              </w:rPr>
            </w:pPr>
          </w:p>
        </w:tc>
      </w:tr>
      <w:tr w14:paraId="7E7D9A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2"/>
            <w:tcBorders>
              <w:tl2br w:val="nil"/>
              <w:tr2bl w:val="nil"/>
            </w:tcBorders>
            <w:noWrap w:val="0"/>
            <w:vAlign w:val="top"/>
          </w:tcPr>
          <w:p w14:paraId="6EA82301">
            <w:pPr>
              <w:pStyle w:val="23"/>
              <w:spacing w:line="360" w:lineRule="auto"/>
              <w:jc w:val="both"/>
              <w:rPr>
                <w:rFonts w:hint="default" w:ascii="Times New Roman" w:hAnsi="Times New Roman" w:cs="Times New Roman"/>
                <w:b/>
                <w:sz w:val="28"/>
              </w:rPr>
            </w:pPr>
            <w:r>
              <w:rPr>
                <w:rFonts w:hint="default" w:ascii="Times New Roman" w:hAnsi="Times New Roman" w:cs="Times New Roman"/>
                <w:b/>
                <w:sz w:val="28"/>
              </w:rPr>
              <w:t>工程占地及平面布置</w:t>
            </w:r>
          </w:p>
          <w:p w14:paraId="26C364C8">
            <w:pPr>
              <w:pStyle w:val="23"/>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工程占地</w:t>
            </w:r>
          </w:p>
          <w:p w14:paraId="7E3C2BFA">
            <w:pPr>
              <w:keepNext w:val="0"/>
              <w:keepLines w:val="0"/>
              <w:widowControl/>
              <w:suppressLineNumbers w:val="0"/>
              <w:ind w:firstLine="480" w:firstLineChars="200"/>
              <w:jc w:val="both"/>
              <w:rPr>
                <w:rFonts w:hint="default" w:ascii="Times New Roman" w:hAnsi="Times New Roman" w:eastAsia="宋体" w:cs="Times New Roman"/>
                <w:highlight w:val="none"/>
                <w:lang w:val="en-US" w:eastAsia="zh-CN"/>
              </w:rPr>
            </w:pPr>
            <w:r>
              <w:rPr>
                <w:rFonts w:hint="default" w:ascii="Times New Roman" w:hAnsi="Times New Roman" w:eastAsia="宋体" w:cs="Times New Roman"/>
                <w:kern w:val="2"/>
                <w:sz w:val="24"/>
                <w:szCs w:val="22"/>
                <w:lang w:val="en-US" w:eastAsia="zh-CN" w:bidi="ar-SA"/>
              </w:rPr>
              <w:t>本项目采矿权范围面积</w:t>
            </w:r>
            <w:r>
              <w:rPr>
                <w:rFonts w:hint="eastAsia" w:ascii="Times New Roman" w:hAnsi="Times New Roman" w:eastAsia="宋体" w:cs="Times New Roman"/>
                <w:kern w:val="2"/>
                <w:sz w:val="24"/>
                <w:szCs w:val="22"/>
                <w:lang w:val="en-US" w:eastAsia="zh-CN" w:bidi="ar-SA"/>
              </w:rPr>
              <w:t>C8区块拟申请采矿权范围矿区总</w:t>
            </w:r>
            <w:r>
              <w:rPr>
                <w:rFonts w:hint="default" w:ascii="Times New Roman" w:hAnsi="Times New Roman" w:eastAsia="宋体" w:cs="Times New Roman"/>
                <w:kern w:val="2"/>
                <w:sz w:val="24"/>
                <w:szCs w:val="22"/>
                <w:lang w:val="en-US" w:eastAsia="zh-CN" w:bidi="ar-SA"/>
              </w:rPr>
              <w:t>面积1.5033km</w:t>
            </w:r>
            <w:r>
              <w:rPr>
                <w:rFonts w:hint="default" w:ascii="Times New Roman" w:hAnsi="Times New Roman" w:eastAsia="宋体" w:cs="Times New Roman"/>
                <w:kern w:val="2"/>
                <w:sz w:val="24"/>
                <w:szCs w:val="22"/>
                <w:vertAlign w:val="superscript"/>
                <w:lang w:val="en-US" w:eastAsia="zh-CN" w:bidi="ar-SA"/>
              </w:rPr>
              <w:t>2</w:t>
            </w:r>
            <w:r>
              <w:rPr>
                <w:rFonts w:hint="default" w:ascii="Times New Roman" w:hAnsi="Times New Roman" w:eastAsia="宋体" w:cs="Times New Roman"/>
                <w:kern w:val="2"/>
                <w:sz w:val="24"/>
                <w:szCs w:val="22"/>
                <w:lang w:val="en-US" w:eastAsia="zh-CN" w:bidi="ar-SA"/>
              </w:rPr>
              <w:t>，C8-1区块</w:t>
            </w:r>
            <w:r>
              <w:rPr>
                <w:rFonts w:hint="eastAsia" w:ascii="Times New Roman" w:hAnsi="Times New Roman" w:eastAsia="宋体" w:cs="Times New Roman"/>
                <w:kern w:val="2"/>
                <w:sz w:val="24"/>
                <w:szCs w:val="22"/>
                <w:lang w:val="en-US" w:eastAsia="zh-CN" w:bidi="ar-SA"/>
              </w:rPr>
              <w:t>资源储量估算最低</w:t>
            </w:r>
            <w:r>
              <w:rPr>
                <w:rFonts w:hint="default" w:ascii="Times New Roman" w:hAnsi="Times New Roman" w:eastAsia="宋体" w:cs="Times New Roman"/>
                <w:kern w:val="2"/>
                <w:sz w:val="24"/>
                <w:szCs w:val="22"/>
                <w:lang w:val="en-US" w:eastAsia="zh-CN" w:bidi="ar-SA"/>
              </w:rPr>
              <w:t>标高为+</w:t>
            </w:r>
            <w:r>
              <w:rPr>
                <w:rFonts w:hint="eastAsia" w:ascii="Times New Roman" w:hAnsi="Times New Roman" w:eastAsia="宋体" w:cs="Times New Roman"/>
                <w:kern w:val="2"/>
                <w:sz w:val="24"/>
                <w:szCs w:val="22"/>
                <w:lang w:val="en-US" w:eastAsia="zh-CN" w:bidi="ar-SA"/>
              </w:rPr>
              <w:t>2</w:t>
            </w:r>
            <w:r>
              <w:rPr>
                <w:rFonts w:hint="default" w:ascii="Times New Roman" w:hAnsi="Times New Roman" w:eastAsia="宋体" w:cs="Times New Roman"/>
                <w:kern w:val="2"/>
                <w:sz w:val="24"/>
                <w:szCs w:val="22"/>
                <w:lang w:val="en-US" w:eastAsia="zh-CN" w:bidi="ar-SA"/>
              </w:rPr>
              <w:t>20m；C8-2区块及C8-3区块资源储量估算最低标高为+270米</w:t>
            </w:r>
            <w:r>
              <w:rPr>
                <w:rFonts w:hint="eastAsia" w:ascii="Times New Roman" w:hAnsi="Times New Roman" w:eastAsia="宋体" w:cs="Times New Roman"/>
                <w:kern w:val="2"/>
                <w:sz w:val="24"/>
                <w:szCs w:val="22"/>
                <w:lang w:val="en-US" w:eastAsia="zh-CN" w:bidi="ar-SA"/>
              </w:rPr>
              <w:t>和+22</w:t>
            </w:r>
            <w:r>
              <w:rPr>
                <w:rFonts w:hint="default" w:ascii="Times New Roman" w:hAnsi="Times New Roman" w:eastAsia="宋体" w:cs="Times New Roman"/>
                <w:kern w:val="2"/>
                <w:sz w:val="24"/>
                <w:szCs w:val="22"/>
                <w:lang w:val="en-US" w:eastAsia="zh-CN" w:bidi="ar-SA"/>
              </w:rPr>
              <w:t>0米</w:t>
            </w:r>
            <w:r>
              <w:rPr>
                <w:rFonts w:hint="eastAsia" w:ascii="Times New Roman" w:hAnsi="Times New Roman" w:eastAsia="宋体" w:cs="Times New Roman"/>
                <w:kern w:val="2"/>
                <w:sz w:val="24"/>
                <w:szCs w:val="22"/>
                <w:lang w:val="en-US" w:eastAsia="zh-CN" w:bidi="ar-SA"/>
              </w:rPr>
              <w:t>。5</w:t>
            </w:r>
            <w:r>
              <w:rPr>
                <w:rFonts w:hint="default" w:ascii="Times New Roman" w:hAnsi="Times New Roman" w:eastAsia="宋体" w:cs="Times New Roman"/>
                <w:kern w:val="2"/>
                <w:sz w:val="24"/>
                <w:szCs w:val="22"/>
                <w:lang w:val="en-US" w:eastAsia="zh-CN" w:bidi="ar-SA"/>
              </w:rPr>
              <w:t>处辅助生产区主要包括办公生活区、检修车间及其他设施</w:t>
            </w:r>
            <w:r>
              <w:rPr>
                <w:rFonts w:hint="eastAsia" w:ascii="Times New Roman" w:hAnsi="Times New Roman" w:eastAsia="宋体" w:cs="Times New Roman"/>
                <w:kern w:val="2"/>
                <w:sz w:val="24"/>
                <w:szCs w:val="22"/>
                <w:lang w:val="en-US" w:eastAsia="zh-CN" w:bidi="ar-SA"/>
              </w:rPr>
              <w:t>。C8-1区块西侧设置两处，C8-2区块南侧设置2处，C8-3西侧设置1处</w:t>
            </w:r>
            <w:r>
              <w:rPr>
                <w:rFonts w:hint="default" w:ascii="Times New Roman" w:hAnsi="Times New Roman" w:eastAsia="宋体" w:cs="Times New Roman"/>
                <w:kern w:val="2"/>
                <w:sz w:val="24"/>
                <w:szCs w:val="22"/>
                <w:lang w:val="en-US" w:eastAsia="zh-CN" w:bidi="ar-SA"/>
              </w:rPr>
              <w:t>辅助生产区</w:t>
            </w:r>
            <w:r>
              <w:rPr>
                <w:rFonts w:hint="eastAsia" w:ascii="Times New Roman" w:hAnsi="Times New Roman" w:eastAsia="宋体" w:cs="Times New Roman"/>
                <w:kern w:val="2"/>
                <w:sz w:val="24"/>
                <w:szCs w:val="22"/>
                <w:lang w:val="en-US" w:eastAsia="zh-CN" w:bidi="ar-SA"/>
              </w:rPr>
              <w:t>。构筑物总面积</w:t>
            </w:r>
            <w:r>
              <w:rPr>
                <w:rFonts w:hint="default" w:ascii="Times New Roman" w:hAnsi="Times New Roman" w:eastAsia="宋体" w:cs="Times New Roman"/>
                <w:kern w:val="2"/>
                <w:sz w:val="24"/>
                <w:szCs w:val="22"/>
                <w:lang w:val="en-US" w:eastAsia="zh-CN" w:bidi="ar-SA"/>
              </w:rPr>
              <w:t>3450m</w:t>
            </w:r>
            <w:r>
              <w:rPr>
                <w:rFonts w:hint="default" w:ascii="Times New Roman" w:hAnsi="Times New Roman" w:eastAsia="宋体" w:cs="Times New Roman"/>
                <w:kern w:val="2"/>
                <w:sz w:val="24"/>
                <w:szCs w:val="22"/>
                <w:vertAlign w:val="superscript"/>
                <w:lang w:val="en-US" w:eastAsia="zh-CN" w:bidi="ar-SA"/>
              </w:rPr>
              <w:t>2</w:t>
            </w:r>
            <w:r>
              <w:rPr>
                <w:rFonts w:hint="eastAsia" w:ascii="Times New Roman" w:hAnsi="Times New Roman" w:eastAsia="宋体" w:cs="Times New Roman"/>
                <w:kern w:val="2"/>
                <w:sz w:val="24"/>
                <w:szCs w:val="22"/>
                <w:lang w:val="en-US" w:eastAsia="zh-CN" w:bidi="ar-SA"/>
              </w:rPr>
              <w:t>。</w:t>
            </w:r>
          </w:p>
          <w:p w14:paraId="2C52DCE6">
            <w:pPr>
              <w:pStyle w:val="23"/>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（2）总平面布置</w:t>
            </w:r>
          </w:p>
          <w:p w14:paraId="6872F373">
            <w:pPr>
              <w:keepNext w:val="0"/>
              <w:keepLines w:val="0"/>
              <w:pageBreakBefore w:val="0"/>
              <w:widowControl w:val="0"/>
              <w:kinsoku/>
              <w:wordWrap/>
              <w:overflowPunct/>
              <w:topLinePunct w:val="0"/>
              <w:bidi w:val="0"/>
              <w:adjustRightInd/>
              <w:snapToGrid w:val="0"/>
              <w:spacing w:line="360" w:lineRule="auto"/>
              <w:ind w:left="0" w:right="0" w:firstLine="483"/>
              <w:textAlignment w:val="auto"/>
              <w:rPr>
                <w:rFonts w:ascii="宋体" w:hAnsi="宋体" w:eastAsia="宋体" w:cs="宋体"/>
                <w:color w:val="000000"/>
                <w:sz w:val="24"/>
                <w:szCs w:val="24"/>
                <w:highlight w:val="none"/>
              </w:rPr>
            </w:pPr>
            <w:r>
              <w:rPr>
                <w:rFonts w:ascii="宋体" w:hAnsi="宋体" w:eastAsia="宋体" w:cs="宋体"/>
                <w:color w:val="000000"/>
                <w:spacing w:val="8"/>
                <w:sz w:val="24"/>
                <w:szCs w:val="24"/>
                <w:highlight w:val="none"/>
              </w:rPr>
              <w:t>总</w:t>
            </w:r>
            <w:r>
              <w:rPr>
                <w:rFonts w:ascii="宋体" w:hAnsi="宋体" w:eastAsia="宋体" w:cs="宋体"/>
                <w:color w:val="000000"/>
                <w:spacing w:val="4"/>
                <w:sz w:val="24"/>
                <w:szCs w:val="24"/>
                <w:highlight w:val="none"/>
              </w:rPr>
              <w:t>平面布置由生活办公区、储水堰塘、生产污水处理、工业场地等几部分</w:t>
            </w:r>
            <w:r>
              <w:rPr>
                <w:rFonts w:ascii="宋体" w:hAnsi="宋体" w:eastAsia="宋体" w:cs="宋体"/>
                <w:color w:val="000000"/>
                <w:spacing w:val="-4"/>
                <w:sz w:val="24"/>
                <w:szCs w:val="24"/>
                <w:highlight w:val="none"/>
              </w:rPr>
              <w:t>组成，具体见总平面图</w:t>
            </w:r>
            <w:r>
              <w:rPr>
                <w:rFonts w:ascii="宋体" w:hAnsi="宋体" w:eastAsia="宋体" w:cs="宋体"/>
                <w:color w:val="000000"/>
                <w:spacing w:val="-3"/>
                <w:sz w:val="24"/>
                <w:szCs w:val="24"/>
                <w:highlight w:val="none"/>
              </w:rPr>
              <w:t>。</w:t>
            </w:r>
          </w:p>
          <w:p w14:paraId="222EC095">
            <w:pPr>
              <w:keepNext w:val="0"/>
              <w:keepLines w:val="0"/>
              <w:pageBreakBefore w:val="0"/>
              <w:widowControl w:val="0"/>
              <w:kinsoku/>
              <w:wordWrap/>
              <w:overflowPunct/>
              <w:topLinePunct w:val="0"/>
              <w:bidi w:val="0"/>
              <w:adjustRightInd/>
              <w:snapToGrid w:val="0"/>
              <w:spacing w:line="360" w:lineRule="auto"/>
              <w:ind w:left="0" w:right="0" w:firstLine="480"/>
              <w:textAlignment w:val="auto"/>
              <w:rPr>
                <w:rFonts w:ascii="宋体" w:hAnsi="宋体" w:eastAsia="宋体" w:cs="宋体"/>
                <w:color w:val="000000"/>
                <w:sz w:val="24"/>
                <w:szCs w:val="24"/>
                <w:highlight w:val="none"/>
              </w:rPr>
            </w:pPr>
            <w:r>
              <w:rPr>
                <w:rFonts w:ascii="宋体" w:hAnsi="宋体" w:eastAsia="宋体" w:cs="宋体"/>
                <w:color w:val="000000"/>
                <w:spacing w:val="8"/>
                <w:sz w:val="24"/>
                <w:szCs w:val="24"/>
                <w:highlight w:val="none"/>
              </w:rPr>
              <w:t>根据</w:t>
            </w:r>
            <w:r>
              <w:rPr>
                <w:rFonts w:ascii="宋体" w:hAnsi="宋体" w:eastAsia="宋体" w:cs="宋体"/>
                <w:color w:val="000000"/>
                <w:spacing w:val="7"/>
                <w:sz w:val="24"/>
                <w:szCs w:val="24"/>
                <w:highlight w:val="none"/>
              </w:rPr>
              <w:t>矿</w:t>
            </w:r>
            <w:r>
              <w:rPr>
                <w:rFonts w:ascii="宋体" w:hAnsi="宋体" w:eastAsia="宋体" w:cs="宋体"/>
                <w:color w:val="000000"/>
                <w:spacing w:val="4"/>
                <w:sz w:val="24"/>
                <w:szCs w:val="24"/>
                <w:highlight w:val="none"/>
              </w:rPr>
              <w:t>区地形条件和公路交通运输条件，矿区工业场地终了时期拟设置在</w:t>
            </w:r>
            <w:r>
              <w:rPr>
                <w:rFonts w:ascii="宋体" w:hAnsi="宋体" w:eastAsia="宋体" w:cs="宋体"/>
                <w:color w:val="000000"/>
                <w:spacing w:val="1"/>
                <w:sz w:val="24"/>
                <w:szCs w:val="24"/>
                <w:highlight w:val="none"/>
              </w:rPr>
              <w:t>矿区西侧矿山公路旁，工业场地内设有粗破</w:t>
            </w:r>
            <w:r>
              <w:rPr>
                <w:rFonts w:ascii="宋体" w:hAnsi="宋体" w:eastAsia="宋体" w:cs="宋体"/>
                <w:color w:val="000000"/>
                <w:sz w:val="24"/>
                <w:szCs w:val="24"/>
                <w:highlight w:val="none"/>
              </w:rPr>
              <w:t>设备、汽修机修车间及停车场。主</w:t>
            </w:r>
            <w:r>
              <w:rPr>
                <w:rFonts w:ascii="宋体" w:hAnsi="宋体" w:eastAsia="宋体" w:cs="宋体"/>
                <w:color w:val="000000"/>
                <w:spacing w:val="8"/>
                <w:sz w:val="24"/>
                <w:szCs w:val="24"/>
                <w:highlight w:val="none"/>
              </w:rPr>
              <w:t>生活办公区位于</w:t>
            </w:r>
            <w:r>
              <w:rPr>
                <w:rFonts w:ascii="宋体" w:hAnsi="宋体" w:eastAsia="宋体" w:cs="宋体"/>
                <w:color w:val="000000"/>
                <w:spacing w:val="5"/>
                <w:sz w:val="24"/>
                <w:szCs w:val="24"/>
                <w:highlight w:val="none"/>
              </w:rPr>
              <w:t>采</w:t>
            </w:r>
            <w:r>
              <w:rPr>
                <w:rFonts w:ascii="宋体" w:hAnsi="宋体" w:eastAsia="宋体" w:cs="宋体"/>
                <w:color w:val="000000"/>
                <w:spacing w:val="4"/>
                <w:sz w:val="24"/>
                <w:szCs w:val="24"/>
                <w:highlight w:val="none"/>
              </w:rPr>
              <w:t>场</w:t>
            </w:r>
            <w:r>
              <w:rPr>
                <w:rFonts w:ascii="Times New Roman" w:hAnsi="Times New Roman" w:eastAsia="Times New Roman" w:cs="Times New Roman"/>
                <w:color w:val="000000"/>
                <w:spacing w:val="4"/>
                <w:sz w:val="24"/>
                <w:szCs w:val="24"/>
                <w:highlight w:val="none"/>
              </w:rPr>
              <w:t>300</w:t>
            </w:r>
            <w:r>
              <w:rPr>
                <w:rFonts w:ascii="宋体" w:hAnsi="宋体" w:eastAsia="宋体" w:cs="宋体"/>
                <w:color w:val="000000"/>
                <w:spacing w:val="4"/>
                <w:sz w:val="24"/>
                <w:szCs w:val="24"/>
                <w:highlight w:val="none"/>
              </w:rPr>
              <w:t>米外山下石材工业园，主要包括矿区办公室(值班室)</w:t>
            </w:r>
            <w:r>
              <w:rPr>
                <w:rFonts w:ascii="宋体" w:hAnsi="宋体" w:eastAsia="宋体" w:cs="宋体"/>
                <w:color w:val="000000"/>
                <w:spacing w:val="-4"/>
                <w:sz w:val="24"/>
                <w:szCs w:val="24"/>
                <w:highlight w:val="none"/>
              </w:rPr>
              <w:t>及职工宿舍、食堂等</w:t>
            </w:r>
            <w:r>
              <w:rPr>
                <w:rFonts w:ascii="宋体" w:hAnsi="宋体" w:eastAsia="宋体" w:cs="宋体"/>
                <w:color w:val="000000"/>
                <w:spacing w:val="-3"/>
                <w:sz w:val="24"/>
                <w:szCs w:val="24"/>
                <w:highlight w:val="none"/>
              </w:rPr>
              <w:t>。</w:t>
            </w:r>
          </w:p>
          <w:p w14:paraId="22EA51BA">
            <w:pPr>
              <w:keepNext w:val="0"/>
              <w:keepLines w:val="0"/>
              <w:pageBreakBefore w:val="0"/>
              <w:widowControl w:val="0"/>
              <w:kinsoku/>
              <w:wordWrap/>
              <w:overflowPunct/>
              <w:topLinePunct w:val="0"/>
              <w:bidi w:val="0"/>
              <w:adjustRightInd/>
              <w:snapToGrid w:val="0"/>
              <w:spacing w:line="360" w:lineRule="auto"/>
              <w:ind w:left="0" w:right="0" w:firstLine="479"/>
              <w:textAlignment w:val="auto"/>
              <w:rPr>
                <w:rFonts w:ascii="宋体" w:hAnsi="宋体" w:eastAsia="宋体" w:cs="宋体"/>
                <w:color w:val="000000"/>
                <w:sz w:val="24"/>
                <w:szCs w:val="24"/>
                <w:highlight w:val="none"/>
              </w:rPr>
            </w:pPr>
            <w:r>
              <w:rPr>
                <w:rFonts w:ascii="宋体" w:hAnsi="宋体" w:eastAsia="宋体" w:cs="宋体"/>
                <w:color w:val="000000"/>
                <w:spacing w:val="-2"/>
                <w:sz w:val="24"/>
                <w:szCs w:val="24"/>
                <w:highlight w:val="none"/>
              </w:rPr>
              <w:t>矿区已从附近</w:t>
            </w:r>
            <w:r>
              <w:rPr>
                <w:rFonts w:ascii="宋体" w:hAnsi="宋体" w:eastAsia="宋体" w:cs="宋体"/>
                <w:color w:val="000000"/>
                <w:spacing w:val="-1"/>
                <w:sz w:val="24"/>
                <w:szCs w:val="24"/>
                <w:highlight w:val="none"/>
              </w:rPr>
              <w:t>乡镇变电站架入</w:t>
            </w:r>
            <w:r>
              <w:rPr>
                <w:rFonts w:ascii="Times New Roman" w:hAnsi="Times New Roman" w:eastAsia="Times New Roman" w:cs="Times New Roman"/>
                <w:color w:val="000000"/>
                <w:spacing w:val="-1"/>
                <w:sz w:val="24"/>
                <w:szCs w:val="24"/>
                <w:highlight w:val="none"/>
              </w:rPr>
              <w:t>10</w:t>
            </w:r>
            <w:r>
              <w:rPr>
                <w:rFonts w:ascii="宋体" w:hAnsi="宋体" w:eastAsia="宋体" w:cs="宋体"/>
                <w:color w:val="000000"/>
                <w:spacing w:val="-1"/>
                <w:sz w:val="24"/>
                <w:szCs w:val="24"/>
                <w:highlight w:val="none"/>
              </w:rPr>
              <w:t>千伏高压电源至本矿区变、配电房，可为</w:t>
            </w:r>
            <w:r>
              <w:rPr>
                <w:rFonts w:ascii="宋体" w:hAnsi="宋体" w:eastAsia="宋体" w:cs="宋体"/>
                <w:color w:val="000000"/>
                <w:spacing w:val="-4"/>
                <w:sz w:val="24"/>
                <w:szCs w:val="24"/>
                <w:highlight w:val="none"/>
              </w:rPr>
              <w:t>矿山开发</w:t>
            </w:r>
            <w:r>
              <w:rPr>
                <w:rFonts w:ascii="宋体" w:hAnsi="宋体" w:eastAsia="宋体" w:cs="宋体"/>
                <w:color w:val="000000"/>
                <w:spacing w:val="-3"/>
                <w:sz w:val="24"/>
                <w:szCs w:val="24"/>
                <w:highlight w:val="none"/>
              </w:rPr>
              <w:t>提</w:t>
            </w:r>
            <w:r>
              <w:rPr>
                <w:rFonts w:ascii="宋体" w:hAnsi="宋体" w:eastAsia="宋体" w:cs="宋体"/>
                <w:color w:val="000000"/>
                <w:spacing w:val="-2"/>
                <w:sz w:val="24"/>
                <w:szCs w:val="24"/>
                <w:highlight w:val="none"/>
              </w:rPr>
              <w:t>供充足的电力能源保障。</w:t>
            </w:r>
          </w:p>
          <w:p w14:paraId="515B4373">
            <w:pPr>
              <w:keepNext w:val="0"/>
              <w:keepLines w:val="0"/>
              <w:pageBreakBefore w:val="0"/>
              <w:widowControl w:val="0"/>
              <w:kinsoku/>
              <w:wordWrap/>
              <w:overflowPunct/>
              <w:topLinePunct w:val="0"/>
              <w:bidi w:val="0"/>
              <w:adjustRightInd/>
              <w:snapToGrid w:val="0"/>
              <w:spacing w:line="360" w:lineRule="auto"/>
              <w:ind w:left="0" w:right="0" w:firstLine="479"/>
              <w:textAlignment w:val="auto"/>
              <w:rPr>
                <w:rFonts w:ascii="宋体" w:hAnsi="宋体" w:eastAsia="宋体" w:cs="宋体"/>
                <w:color w:val="000000"/>
                <w:sz w:val="24"/>
                <w:szCs w:val="24"/>
                <w:highlight w:val="none"/>
              </w:rPr>
            </w:pPr>
            <w:r>
              <w:rPr>
                <w:rFonts w:ascii="宋体" w:hAnsi="宋体" w:eastAsia="宋体" w:cs="宋体"/>
                <w:color w:val="000000"/>
                <w:spacing w:val="8"/>
                <w:sz w:val="24"/>
                <w:szCs w:val="24"/>
                <w:highlight w:val="none"/>
              </w:rPr>
              <w:t>矿山开</w:t>
            </w:r>
            <w:r>
              <w:rPr>
                <w:rFonts w:ascii="宋体" w:hAnsi="宋体" w:eastAsia="宋体" w:cs="宋体"/>
                <w:color w:val="000000"/>
                <w:spacing w:val="4"/>
                <w:sz w:val="24"/>
                <w:szCs w:val="24"/>
                <w:highlight w:val="none"/>
              </w:rPr>
              <w:t>采工业与生活用水量有限。采区外部筑几处堰塘，主要水源为大气</w:t>
            </w:r>
            <w:r>
              <w:rPr>
                <w:rFonts w:ascii="宋体" w:hAnsi="宋体" w:eastAsia="宋体" w:cs="宋体"/>
                <w:color w:val="000000"/>
                <w:spacing w:val="-4"/>
                <w:sz w:val="24"/>
                <w:szCs w:val="24"/>
                <w:highlight w:val="none"/>
              </w:rPr>
              <w:t>降水，供采矿生产使用，</w:t>
            </w:r>
            <w:r>
              <w:rPr>
                <w:rFonts w:ascii="宋体" w:hAnsi="宋体" w:eastAsia="宋体" w:cs="宋体"/>
                <w:color w:val="000000"/>
                <w:spacing w:val="-3"/>
                <w:sz w:val="24"/>
                <w:szCs w:val="24"/>
                <w:highlight w:val="none"/>
              </w:rPr>
              <w:t>不</w:t>
            </w:r>
            <w:r>
              <w:rPr>
                <w:rFonts w:ascii="宋体" w:hAnsi="宋体" w:eastAsia="宋体" w:cs="宋体"/>
                <w:color w:val="000000"/>
                <w:spacing w:val="-2"/>
                <w:sz w:val="24"/>
                <w:szCs w:val="24"/>
                <w:highlight w:val="none"/>
              </w:rPr>
              <w:t>足部分取至矿区附近水库。每个取水点安装</w:t>
            </w:r>
            <w:r>
              <w:rPr>
                <w:rFonts w:ascii="Times New Roman" w:hAnsi="Times New Roman" w:eastAsia="Times New Roman" w:cs="Times New Roman"/>
                <w:color w:val="000000"/>
                <w:spacing w:val="-2"/>
                <w:sz w:val="24"/>
                <w:szCs w:val="24"/>
                <w:highlight w:val="none"/>
              </w:rPr>
              <w:t>3</w:t>
            </w:r>
            <w:r>
              <w:rPr>
                <w:rFonts w:ascii="宋体" w:hAnsi="宋体" w:eastAsia="宋体" w:cs="宋体"/>
                <w:color w:val="000000"/>
                <w:spacing w:val="-2"/>
                <w:sz w:val="24"/>
                <w:szCs w:val="24"/>
                <w:highlight w:val="none"/>
              </w:rPr>
              <w:t>台潜</w:t>
            </w:r>
            <w:r>
              <w:rPr>
                <w:rFonts w:ascii="宋体" w:hAnsi="宋体" w:eastAsia="宋体" w:cs="宋体"/>
                <w:color w:val="000000"/>
                <w:spacing w:val="6"/>
                <w:sz w:val="24"/>
                <w:szCs w:val="24"/>
                <w:highlight w:val="none"/>
              </w:rPr>
              <w:t>水泵(</w:t>
            </w:r>
            <w:r>
              <w:rPr>
                <w:rFonts w:ascii="Times New Roman" w:hAnsi="Times New Roman" w:eastAsia="Times New Roman" w:cs="Times New Roman"/>
                <w:color w:val="000000"/>
                <w:spacing w:val="6"/>
                <w:sz w:val="24"/>
                <w:szCs w:val="24"/>
                <w:highlight w:val="none"/>
              </w:rPr>
              <w:t>2</w:t>
            </w:r>
            <w:r>
              <w:rPr>
                <w:rFonts w:ascii="宋体" w:hAnsi="宋体" w:eastAsia="宋体" w:cs="宋体"/>
                <w:color w:val="000000"/>
                <w:spacing w:val="3"/>
                <w:sz w:val="24"/>
                <w:szCs w:val="24"/>
                <w:highlight w:val="none"/>
              </w:rPr>
              <w:t>台生产、</w:t>
            </w:r>
            <w:r>
              <w:rPr>
                <w:rFonts w:ascii="Times New Roman" w:hAnsi="Times New Roman" w:eastAsia="Times New Roman" w:cs="Times New Roman"/>
                <w:color w:val="000000"/>
                <w:spacing w:val="3"/>
                <w:sz w:val="24"/>
                <w:szCs w:val="24"/>
                <w:highlight w:val="none"/>
              </w:rPr>
              <w:t>1</w:t>
            </w:r>
            <w:r>
              <w:rPr>
                <w:rFonts w:ascii="宋体" w:hAnsi="宋体" w:eastAsia="宋体" w:cs="宋体"/>
                <w:color w:val="000000"/>
                <w:spacing w:val="3"/>
                <w:sz w:val="24"/>
                <w:szCs w:val="24"/>
                <w:highlight w:val="none"/>
              </w:rPr>
              <w:t>台备用)，设置一个集中取水点，用</w:t>
            </w:r>
            <w:r>
              <w:rPr>
                <w:rFonts w:ascii="Times New Roman" w:hAnsi="Times New Roman" w:eastAsia="Times New Roman" w:cs="Times New Roman"/>
                <w:color w:val="000000"/>
                <w:spacing w:val="3"/>
                <w:sz w:val="24"/>
                <w:szCs w:val="24"/>
                <w:highlight w:val="none"/>
              </w:rPr>
              <w:t>Φ80</w:t>
            </w:r>
            <w:r>
              <w:rPr>
                <w:rFonts w:ascii="Times New Roman" w:hAnsi="Times New Roman" w:eastAsia="Times New Roman" w:cs="Times New Roman"/>
                <w:color w:val="000000"/>
                <w:sz w:val="24"/>
                <w:szCs w:val="24"/>
                <w:highlight w:val="none"/>
              </w:rPr>
              <w:t>mm</w:t>
            </w:r>
            <w:r>
              <w:rPr>
                <w:rFonts w:ascii="宋体" w:hAnsi="宋体" w:eastAsia="宋体" w:cs="宋体"/>
                <w:color w:val="000000"/>
                <w:spacing w:val="3"/>
                <w:sz w:val="24"/>
                <w:szCs w:val="24"/>
                <w:highlight w:val="none"/>
              </w:rPr>
              <w:t>钢管将水塘水</w:t>
            </w:r>
            <w:r>
              <w:rPr>
                <w:rFonts w:ascii="宋体" w:hAnsi="宋体" w:eastAsia="宋体" w:cs="宋体"/>
                <w:color w:val="000000"/>
                <w:spacing w:val="1"/>
                <w:sz w:val="24"/>
                <w:szCs w:val="24"/>
                <w:highlight w:val="none"/>
              </w:rPr>
              <w:t>输送至各采区作业面，用于作业面凿岩、洒</w:t>
            </w:r>
            <w:r>
              <w:rPr>
                <w:rFonts w:ascii="宋体" w:hAnsi="宋体" w:eastAsia="宋体" w:cs="宋体"/>
                <w:color w:val="000000"/>
                <w:sz w:val="24"/>
                <w:szCs w:val="24"/>
                <w:highlight w:val="none"/>
              </w:rPr>
              <w:t>水、除尘及消防。在矿区地势较低</w:t>
            </w:r>
            <w:r>
              <w:rPr>
                <w:rFonts w:ascii="宋体" w:hAnsi="宋体" w:eastAsia="宋体" w:cs="宋体"/>
                <w:color w:val="000000"/>
                <w:spacing w:val="-2"/>
                <w:sz w:val="24"/>
                <w:szCs w:val="24"/>
                <w:highlight w:val="none"/>
              </w:rPr>
              <w:t>处人工筑堰塘，回收大气降水，供</w:t>
            </w:r>
            <w:r>
              <w:rPr>
                <w:rFonts w:ascii="宋体" w:hAnsi="宋体" w:eastAsia="宋体" w:cs="宋体"/>
                <w:color w:val="000000"/>
                <w:spacing w:val="-1"/>
                <w:sz w:val="24"/>
                <w:szCs w:val="24"/>
                <w:highlight w:val="none"/>
              </w:rPr>
              <w:t>露天采场用水及消防用水。</w:t>
            </w:r>
          </w:p>
          <w:p w14:paraId="2D83C32F">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ind w:left="0" w:leftChars="0" w:firstLine="482" w:firstLineChars="200"/>
              <w:jc w:val="left"/>
              <w:textAlignment w:val="auto"/>
              <w:rPr>
                <w:rFonts w:hint="default" w:ascii="Times New Roman" w:hAnsi="Times New Roman" w:eastAsia="宋体" w:cs="Times New Roman"/>
                <w:b/>
                <w:bCs/>
                <w:sz w:val="24"/>
                <w:szCs w:val="32"/>
                <w:lang w:eastAsia="zh-CN"/>
              </w:rPr>
            </w:pPr>
            <w:r>
              <w:rPr>
                <w:rFonts w:hint="default" w:ascii="Times New Roman" w:hAnsi="Times New Roman" w:eastAsia="宋体" w:cs="Times New Roman"/>
                <w:b/>
                <w:bCs/>
                <w:sz w:val="24"/>
                <w:szCs w:val="32"/>
                <w:lang w:eastAsia="zh-CN"/>
              </w:rPr>
              <w:t>项目环保设施布局</w:t>
            </w:r>
          </w:p>
          <w:p w14:paraId="498D95A7">
            <w:pPr>
              <w:shd w:val="clear" w:color="auto" w:fill="auto"/>
              <w:adjustRightInd w:val="0"/>
              <w:snapToGrid w:val="0"/>
              <w:spacing w:line="360" w:lineRule="auto"/>
              <w:ind w:firstLine="482" w:firstLineChars="200"/>
              <w:rPr>
                <w:rFonts w:hint="eastAsia" w:ascii="Times New Roman" w:hAnsi="Times New Roman" w:eastAsia="宋体" w:cs="Times New Roman"/>
                <w:b/>
                <w:bCs/>
                <w:color w:val="000000"/>
                <w:sz w:val="24"/>
                <w:highlight w:val="none"/>
                <w:lang w:val="en-US" w:eastAsia="zh-CN"/>
              </w:rPr>
            </w:pPr>
            <w:r>
              <w:rPr>
                <w:rFonts w:hint="eastAsia" w:cs="Times New Roman"/>
                <w:b/>
                <w:bCs/>
                <w:color w:val="000000"/>
                <w:sz w:val="24"/>
                <w:highlight w:val="none"/>
                <w:lang w:val="en-US" w:eastAsia="zh-CN"/>
              </w:rPr>
              <w:t>废水</w:t>
            </w:r>
          </w:p>
          <w:p w14:paraId="5F0782B5">
            <w:pPr>
              <w:shd w:val="clear" w:color="auto" w:fill="auto"/>
              <w:adjustRightInd w:val="0"/>
              <w:snapToGrid w:val="0"/>
              <w:spacing w:line="360" w:lineRule="auto"/>
              <w:ind w:firstLine="482" w:firstLineChars="200"/>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fldChar w:fldCharType="begin"/>
            </w:r>
            <w:r>
              <w:rPr>
                <w:rFonts w:hint="default" w:ascii="Times New Roman" w:hAnsi="Times New Roman" w:cs="Times New Roman"/>
                <w:b/>
                <w:bCs/>
                <w:color w:val="000000"/>
                <w:sz w:val="24"/>
                <w:highlight w:val="none"/>
              </w:rPr>
              <w:instrText xml:space="preserve"> = 1 \* GB3 </w:instrText>
            </w:r>
            <w:r>
              <w:rPr>
                <w:rFonts w:hint="default" w:ascii="Times New Roman" w:hAnsi="Times New Roman" w:cs="Times New Roman"/>
                <w:b/>
                <w:bCs/>
                <w:color w:val="000000"/>
                <w:sz w:val="24"/>
                <w:highlight w:val="none"/>
              </w:rPr>
              <w:fldChar w:fldCharType="separate"/>
            </w:r>
            <w:r>
              <w:rPr>
                <w:rFonts w:hint="default" w:ascii="Times New Roman" w:hAnsi="Times New Roman" w:cs="Times New Roman"/>
                <w:b/>
                <w:bCs/>
                <w:color w:val="000000"/>
                <w:sz w:val="24"/>
                <w:highlight w:val="none"/>
              </w:rPr>
              <w:t>①</w:t>
            </w:r>
            <w:r>
              <w:rPr>
                <w:rFonts w:hint="default" w:ascii="Times New Roman" w:hAnsi="Times New Roman" w:cs="Times New Roman"/>
                <w:b/>
                <w:bCs/>
                <w:color w:val="000000"/>
                <w:sz w:val="24"/>
                <w:highlight w:val="none"/>
              </w:rPr>
              <w:fldChar w:fldCharType="end"/>
            </w:r>
            <w:r>
              <w:rPr>
                <w:rFonts w:hint="default" w:ascii="Times New Roman" w:hAnsi="Times New Roman" w:cs="Times New Roman"/>
                <w:b/>
                <w:bCs/>
                <w:color w:val="000000"/>
                <w:sz w:val="24"/>
                <w:highlight w:val="none"/>
              </w:rPr>
              <w:t>废水处理设施</w:t>
            </w:r>
          </w:p>
          <w:p w14:paraId="4D5F601A">
            <w:pPr>
              <w:shd w:val="clear" w:color="auto" w:fill="auto"/>
              <w:adjustRightInd w:val="0"/>
              <w:snapToGrid w:val="0"/>
              <w:spacing w:line="360" w:lineRule="auto"/>
              <w:ind w:firstLine="480" w:firstLineChars="200"/>
              <w:jc w:val="left"/>
              <w:rPr>
                <w:rFonts w:hint="default" w:ascii="Times New Roman" w:hAnsi="Times New Roman" w:cs="Times New Roman"/>
                <w:bCs/>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项目运营期废水主要是生活污水（食堂、办公</w:t>
            </w:r>
            <w:r>
              <w:rPr>
                <w:rFonts w:hint="eastAsia" w:cs="Times New Roman"/>
                <w:color w:val="auto"/>
                <w:kern w:val="0"/>
                <w:sz w:val="24"/>
                <w:szCs w:val="24"/>
                <w:highlight w:val="none"/>
                <w:lang w:val="en-US" w:eastAsia="zh-CN"/>
              </w:rPr>
              <w:t>生活污水</w:t>
            </w:r>
            <w:r>
              <w:rPr>
                <w:rFonts w:hint="default" w:ascii="Times New Roman" w:hAnsi="Times New Roman" w:eastAsia="宋体" w:cs="Times New Roman"/>
                <w:color w:val="auto"/>
                <w:kern w:val="0"/>
                <w:sz w:val="24"/>
                <w:szCs w:val="24"/>
                <w:highlight w:val="none"/>
                <w:lang w:val="en-US" w:eastAsia="zh-CN"/>
              </w:rPr>
              <w:t>）、生产废水和初期雨水。生活污水经一体化污水处理设备处理后，汇同经污水处理站处理后的生产废水和初期雨水回用于生产和抑尘，不外排</w:t>
            </w:r>
            <w:r>
              <w:rPr>
                <w:rFonts w:hint="default" w:ascii="Times New Roman" w:hAnsi="Times New Roman" w:cs="Times New Roman"/>
                <w:bCs/>
                <w:sz w:val="24"/>
                <w:szCs w:val="24"/>
                <w:highlight w:val="none"/>
                <w:lang w:val="en-US" w:eastAsia="zh-CN"/>
              </w:rPr>
              <w:t>。</w:t>
            </w:r>
          </w:p>
          <w:p w14:paraId="0A20352B">
            <w:pPr>
              <w:shd w:val="clear" w:color="auto" w:fill="auto"/>
              <w:adjustRightInd w:val="0"/>
              <w:snapToGrid w:val="0"/>
              <w:spacing w:line="360" w:lineRule="auto"/>
              <w:ind w:firstLine="480" w:firstLineChars="200"/>
              <w:jc w:val="left"/>
              <w:rPr>
                <w:rFonts w:hint="default" w:ascii="Times New Roman" w:hAnsi="Times New Roman" w:eastAsia="宋体" w:cs="Times New Roman"/>
                <w:bCs w:val="0"/>
                <w:color w:val="auto"/>
                <w:kern w:val="0"/>
                <w:sz w:val="24"/>
                <w:szCs w:val="24"/>
                <w:highlight w:val="none"/>
                <w:lang w:val="en-US" w:eastAsia="zh-CN"/>
              </w:rPr>
            </w:pPr>
            <w:r>
              <w:rPr>
                <w:rFonts w:hint="default" w:ascii="Times New Roman" w:hAnsi="Times New Roman" w:eastAsia="宋体" w:cs="Times New Roman"/>
                <w:bCs w:val="0"/>
                <w:color w:val="auto"/>
                <w:kern w:val="0"/>
                <w:sz w:val="24"/>
                <w:szCs w:val="24"/>
                <w:highlight w:val="none"/>
                <w:lang w:val="en-US" w:eastAsia="zh-CN"/>
              </w:rPr>
              <w:t>露天采坑承雨量和地下水补给量，根据采场布置，矿山为山坡露天矿开采，矿区周边设置截水沟，采场平台工作面设计3‰～5‰的反坡，沿工作平台自流，开采平台上生产废水和雨水由平台废水循环利用处理站（沉淀+压滤）处理后回用，开采平台外裸露坡面和道路雨水由排水沟汇流至各流域汇流沟道底部设置的初期雨水处理站进行处理，处理后雨水回用于生产，污泥经压滤成泥饼后综合利用。</w:t>
            </w:r>
          </w:p>
          <w:p w14:paraId="6E2A5A52">
            <w:pPr>
              <w:shd w:val="clear" w:color="auto" w:fill="auto"/>
              <w:adjustRightInd w:val="0"/>
              <w:snapToGrid w:val="0"/>
              <w:spacing w:line="360" w:lineRule="auto"/>
              <w:ind w:firstLine="480" w:firstLineChars="200"/>
              <w:jc w:val="left"/>
              <w:rPr>
                <w:rFonts w:hint="default" w:ascii="Times New Roman" w:hAnsi="Times New Roman" w:eastAsia="宋体" w:cs="Times New Roman"/>
                <w:bCs w:val="0"/>
                <w:color w:val="auto"/>
                <w:kern w:val="0"/>
                <w:sz w:val="24"/>
                <w:szCs w:val="24"/>
                <w:highlight w:val="none"/>
                <w:lang w:val="en-US" w:eastAsia="zh-CN"/>
              </w:rPr>
            </w:pPr>
            <w:r>
              <w:rPr>
                <w:rFonts w:hint="default" w:ascii="Times New Roman" w:hAnsi="Times New Roman" w:eastAsia="宋体" w:cs="Times New Roman"/>
                <w:bCs w:val="0"/>
                <w:color w:val="auto"/>
                <w:kern w:val="0"/>
                <w:sz w:val="24"/>
                <w:szCs w:val="24"/>
                <w:highlight w:val="none"/>
                <w:lang w:val="en-US" w:eastAsia="zh-CN"/>
              </w:rPr>
              <w:t>为防止洪水对工业场地造成破坏，在工业场地两侧设置排水明沟，将山坡雨水有序的引出工业场地；零星地段采用自然坡度排水。排水沟明沟可采用M5水泥砂浆砌MU30片石加固，过水断面为梯形，局部设钢筋砼盖板。</w:t>
            </w:r>
          </w:p>
          <w:p w14:paraId="59C551DC">
            <w:pPr>
              <w:spacing w:line="360" w:lineRule="auto"/>
              <w:ind w:firstLine="482" w:firstLineChars="200"/>
              <w:rPr>
                <w:rFonts w:hint="default" w:ascii="Times New Roman" w:hAnsi="Times New Roman" w:cs="Times New Roman"/>
                <w:b/>
                <w:bCs/>
                <w:sz w:val="24"/>
                <w:szCs w:val="24"/>
                <w:highlight w:val="none"/>
                <w:lang w:val="en-US" w:eastAsia="zh-CN"/>
              </w:rPr>
            </w:pPr>
            <w:r>
              <w:rPr>
                <w:rFonts w:hint="default" w:ascii="Times New Roman" w:hAnsi="Times New Roman" w:cs="Times New Roman"/>
                <w:b/>
                <w:bCs/>
                <w:sz w:val="24"/>
                <w:szCs w:val="24"/>
                <w:highlight w:val="none"/>
                <w:lang w:val="en-US" w:eastAsia="zh-CN"/>
              </w:rPr>
              <w:t>②废水收集方式</w:t>
            </w:r>
          </w:p>
          <w:p w14:paraId="5150238C">
            <w:p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本矿区</w:t>
            </w:r>
            <w:r>
              <w:rPr>
                <w:rFonts w:hint="default" w:ascii="Times New Roman" w:hAnsi="Times New Roman" w:eastAsia="宋体" w:cs="Times New Roman"/>
                <w:b w:val="0"/>
                <w:bCs w:val="0"/>
                <w:color w:val="auto"/>
                <w:sz w:val="24"/>
                <w:szCs w:val="24"/>
                <w:highlight w:val="none"/>
                <w:lang w:val="en-US" w:eastAsia="zh-CN"/>
              </w:rPr>
              <w:t>地势地形较为复杂，根据采区所在地势分别设置以下两种收集处理方式：</w:t>
            </w:r>
          </w:p>
          <w:p w14:paraId="0FDF3401">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fldChar w:fldCharType="begin"/>
            </w:r>
            <w:r>
              <w:rPr>
                <w:rFonts w:hint="default" w:ascii="Times New Roman" w:hAnsi="Times New Roman" w:eastAsia="宋体" w:cs="Times New Roman"/>
                <w:b w:val="0"/>
                <w:bCs w:val="0"/>
                <w:sz w:val="24"/>
                <w:szCs w:val="24"/>
                <w:highlight w:val="none"/>
                <w:lang w:val="en-US" w:eastAsia="zh-CN"/>
              </w:rPr>
              <w:instrText xml:space="preserve"> = 1 \* GB3 \* MERGEFORMAT </w:instrText>
            </w:r>
            <w:r>
              <w:rPr>
                <w:rFonts w:hint="default" w:ascii="Times New Roman" w:hAnsi="Times New Roman" w:eastAsia="宋体" w:cs="Times New Roman"/>
                <w:b w:val="0"/>
                <w:bCs w:val="0"/>
                <w:sz w:val="24"/>
                <w:szCs w:val="24"/>
                <w:highlight w:val="none"/>
                <w:lang w:val="en-US" w:eastAsia="zh-CN"/>
              </w:rPr>
              <w:fldChar w:fldCharType="separate"/>
            </w:r>
            <w:r>
              <w:rPr>
                <w:rFonts w:hint="default" w:ascii="Times New Roman" w:hAnsi="Times New Roman" w:eastAsia="宋体" w:cs="Times New Roman"/>
                <w:b w:val="0"/>
                <w:bCs w:val="0"/>
                <w:sz w:val="24"/>
                <w:szCs w:val="24"/>
                <w:highlight w:val="none"/>
                <w:lang w:val="en-US" w:eastAsia="zh-CN"/>
              </w:rPr>
              <w:t>①</w:t>
            </w:r>
            <w:r>
              <w:rPr>
                <w:rFonts w:hint="default" w:ascii="Times New Roman" w:hAnsi="Times New Roman" w:eastAsia="宋体" w:cs="Times New Roman"/>
                <w:b w:val="0"/>
                <w:bCs w:val="0"/>
                <w:sz w:val="24"/>
                <w:szCs w:val="24"/>
                <w:highlight w:val="none"/>
                <w:lang w:val="en-US" w:eastAsia="zh-CN"/>
              </w:rPr>
              <w:fldChar w:fldCharType="end"/>
            </w:r>
            <w:r>
              <w:rPr>
                <w:rFonts w:hint="default" w:ascii="Times New Roman" w:hAnsi="Times New Roman" w:eastAsia="宋体" w:cs="Times New Roman"/>
                <w:b w:val="0"/>
                <w:bCs w:val="0"/>
                <w:sz w:val="24"/>
                <w:szCs w:val="24"/>
                <w:highlight w:val="none"/>
                <w:lang w:val="en-US" w:eastAsia="zh-CN"/>
              </w:rPr>
              <w:t>污水收集池及初期雨水收集池分别设置</w:t>
            </w:r>
          </w:p>
          <w:p w14:paraId="530FD6C9">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1）开采区生产废水在平台处收集后通过管（渠）接入污水收集池， 完全回用，不外排</w:t>
            </w:r>
          </w:p>
          <w:p w14:paraId="152FF037">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2）雨天，当污水收集池内污水达到有效容积后，关掉进入污水收 集池前的闸门，上游地表径流需进入初期雨水收集池，直到收集完上游初期雨水（本项目按照</w:t>
            </w:r>
            <w:r>
              <w:rPr>
                <w:rFonts w:hint="default" w:cs="Times New Roman"/>
                <w:b w:val="0"/>
                <w:bCs w:val="0"/>
                <w:sz w:val="24"/>
                <w:szCs w:val="24"/>
                <w:highlight w:val="none"/>
                <w:lang w:val="en-US" w:eastAsia="zh-CN"/>
              </w:rPr>
              <w:t>300</w:t>
            </w:r>
            <w:r>
              <w:rPr>
                <w:rFonts w:hint="default" w:ascii="Times New Roman" w:hAnsi="Times New Roman" w:eastAsia="宋体" w:cs="Times New Roman"/>
                <w:b w:val="0"/>
                <w:bCs w:val="0"/>
                <w:sz w:val="24"/>
                <w:szCs w:val="24"/>
                <w:highlight w:val="none"/>
                <w:lang w:val="en-US" w:eastAsia="zh-CN"/>
              </w:rPr>
              <w:t xml:space="preserve">mm雨水量进行收集）； </w:t>
            </w:r>
          </w:p>
          <w:p w14:paraId="1B2DBD45">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3）暴雨情况下，初期雨水收集池内</w:t>
            </w:r>
            <w:r>
              <w:rPr>
                <w:rFonts w:hint="eastAsia" w:cs="Times New Roman"/>
                <w:b w:val="0"/>
                <w:bCs w:val="0"/>
                <w:sz w:val="24"/>
                <w:szCs w:val="24"/>
                <w:highlight w:val="none"/>
                <w:lang w:val="en-US" w:eastAsia="zh-CN"/>
              </w:rPr>
              <w:t>的</w:t>
            </w:r>
            <w:r>
              <w:rPr>
                <w:rFonts w:hint="default" w:ascii="Times New Roman" w:hAnsi="Times New Roman" w:eastAsia="宋体" w:cs="Times New Roman"/>
                <w:b w:val="0"/>
                <w:bCs w:val="0"/>
                <w:sz w:val="24"/>
                <w:szCs w:val="24"/>
                <w:highlight w:val="none"/>
                <w:lang w:val="en-US" w:eastAsia="zh-CN"/>
              </w:rPr>
              <w:t>污雨水达到有效容积后，关闭 初期雨水收集池前的闸门，打开泄洪口闸门，上游所有后期雨水通过泄洪口外排，减少山区雨水，保障下游居民安全。</w:t>
            </w:r>
          </w:p>
          <w:p w14:paraId="071DBA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sz w:val="24"/>
                <w:szCs w:val="24"/>
                <w:highlight w:val="none"/>
                <w:lang w:eastAsia="zh-CN"/>
              </w:rPr>
            </w:pPr>
            <w:r>
              <w:rPr>
                <w:rFonts w:hint="default" w:ascii="Times New Roman" w:hAnsi="Times New Roman" w:cs="Times New Roman"/>
                <w:b/>
                <w:bCs/>
                <w:sz w:val="24"/>
                <w:szCs w:val="24"/>
                <w:highlight w:val="none"/>
                <w:lang w:eastAsia="zh-CN"/>
              </w:rPr>
              <w:object>
                <v:shape id="_x0000_i1029" o:spt="75" type="#_x0000_t75" style="height:143.3pt;width:425.35pt;" o:ole="t" filled="f" o:preferrelative="t" stroked="t" coordsize="21600,21600">
                  <v:path/>
                  <v:fill on="f" focussize="0,0"/>
                  <v:stroke/>
                  <v:imagedata r:id="rId21" o:title=""/>
                  <o:lock v:ext="edit" aspectratio="f"/>
                  <w10:wrap type="none"/>
                  <w10:anchorlock/>
                </v:shape>
                <o:OLEObject Type="Embed" ProgID="Visio.Drawing.15" ShapeID="_x0000_i1029" DrawAspect="Content" ObjectID="_1468075729" r:id="rId30">
                  <o:LockedField>false</o:LockedField>
                </o:OLEObject>
              </w:object>
            </w:r>
          </w:p>
          <w:p w14:paraId="3C7F90A0">
            <w:pPr>
              <w:keepNext w:val="0"/>
              <w:keepLines w:val="0"/>
              <w:pageBreakBefore w:val="0"/>
              <w:widowControl w:val="0"/>
              <w:kinsoku/>
              <w:wordWrap/>
              <w:overflowPunct/>
              <w:topLinePunct w:val="0"/>
              <w:autoSpaceDE/>
              <w:autoSpaceDN/>
              <w:bidi w:val="0"/>
              <w:adjustRightInd/>
              <w:snapToGrid w:val="0"/>
              <w:spacing w:after="157" w:afterLines="50" w:line="240" w:lineRule="auto"/>
              <w:jc w:val="center"/>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w:t>
            </w:r>
            <w:r>
              <w:rPr>
                <w:rFonts w:hint="eastAsia" w:cs="Times New Roman"/>
                <w:b/>
                <w:bCs/>
                <w:sz w:val="24"/>
                <w:szCs w:val="24"/>
                <w:highlight w:val="none"/>
                <w:lang w:val="en-US" w:eastAsia="zh-CN"/>
              </w:rPr>
              <w:t xml:space="preserve">4-7 </w:t>
            </w:r>
            <w:r>
              <w:rPr>
                <w:rFonts w:hint="default" w:ascii="Times New Roman" w:hAnsi="Times New Roman" w:eastAsia="宋体" w:cs="Times New Roman"/>
                <w:b/>
                <w:bCs/>
                <w:sz w:val="24"/>
                <w:szCs w:val="24"/>
                <w:highlight w:val="none"/>
                <w:lang w:val="en-US" w:eastAsia="zh-CN"/>
              </w:rPr>
              <w:t xml:space="preserve"> 污、雨水收集池分流建设</w:t>
            </w:r>
            <w:r>
              <w:rPr>
                <w:rFonts w:hint="default" w:cs="Times New Roman"/>
                <w:b/>
                <w:bCs/>
                <w:sz w:val="24"/>
                <w:szCs w:val="24"/>
                <w:highlight w:val="none"/>
                <w:lang w:val="en-US" w:eastAsia="zh-CN"/>
              </w:rPr>
              <w:t>原则</w:t>
            </w:r>
            <w:r>
              <w:rPr>
                <w:rFonts w:hint="default" w:ascii="Times New Roman" w:hAnsi="Times New Roman" w:eastAsia="宋体" w:cs="Times New Roman"/>
                <w:b/>
                <w:bCs/>
                <w:sz w:val="24"/>
                <w:szCs w:val="24"/>
                <w:highlight w:val="none"/>
                <w:lang w:val="en-US" w:eastAsia="zh-CN"/>
              </w:rPr>
              <w:t>示意图</w:t>
            </w:r>
          </w:p>
          <w:p w14:paraId="410B79E6">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fldChar w:fldCharType="begin"/>
            </w:r>
            <w:r>
              <w:rPr>
                <w:rFonts w:hint="default" w:ascii="Times New Roman" w:hAnsi="Times New Roman" w:eastAsia="宋体" w:cs="Times New Roman"/>
                <w:b w:val="0"/>
                <w:bCs w:val="0"/>
                <w:sz w:val="24"/>
                <w:szCs w:val="24"/>
                <w:highlight w:val="none"/>
                <w:lang w:val="en-US" w:eastAsia="zh-CN"/>
              </w:rPr>
              <w:instrText xml:space="preserve">=2\*GB3\*MERGEFORMAT</w:instrText>
            </w:r>
            <w:r>
              <w:rPr>
                <w:rFonts w:hint="default" w:ascii="Times New Roman" w:hAnsi="Times New Roman" w:eastAsia="宋体" w:cs="Times New Roman"/>
                <w:b w:val="0"/>
                <w:bCs w:val="0"/>
                <w:sz w:val="24"/>
                <w:szCs w:val="24"/>
                <w:highlight w:val="none"/>
                <w:lang w:val="en-US" w:eastAsia="zh-CN"/>
              </w:rPr>
              <w:fldChar w:fldCharType="separate"/>
            </w:r>
            <w:r>
              <w:rPr>
                <w:rFonts w:hint="default" w:ascii="Times New Roman" w:hAnsi="Times New Roman" w:eastAsia="宋体" w:cs="Times New Roman"/>
                <w:b w:val="0"/>
                <w:bCs w:val="0"/>
                <w:sz w:val="24"/>
                <w:szCs w:val="24"/>
                <w:highlight w:val="none"/>
                <w:lang w:val="en-US" w:eastAsia="zh-CN"/>
              </w:rPr>
              <w:t>②</w:t>
            </w:r>
            <w:r>
              <w:rPr>
                <w:rFonts w:hint="default" w:ascii="Times New Roman" w:hAnsi="Times New Roman" w:eastAsia="宋体" w:cs="Times New Roman"/>
                <w:b w:val="0"/>
                <w:bCs w:val="0"/>
                <w:sz w:val="24"/>
                <w:szCs w:val="24"/>
                <w:highlight w:val="none"/>
                <w:lang w:val="en-US" w:eastAsia="zh-CN"/>
              </w:rPr>
              <w:fldChar w:fldCharType="end"/>
            </w:r>
            <w:r>
              <w:rPr>
                <w:rFonts w:hint="default" w:ascii="Times New Roman" w:hAnsi="Times New Roman" w:eastAsia="宋体" w:cs="Times New Roman"/>
                <w:b w:val="0"/>
                <w:bCs w:val="0"/>
                <w:sz w:val="24"/>
                <w:szCs w:val="24"/>
                <w:highlight w:val="none"/>
                <w:lang w:val="en-US" w:eastAsia="zh-CN"/>
              </w:rPr>
              <w:t>污水收集池及初期雨水收集池合并设置</w:t>
            </w:r>
          </w:p>
          <w:p w14:paraId="2A74CD3E">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1）晴天，开采区生产废水在平台处收集后通过管（渠）接入污水收集池，完全回用，不外排，污水池内保证低液位运行；</w:t>
            </w:r>
          </w:p>
          <w:p w14:paraId="3A9D282C">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2）雨天，上游地表径流仍旧进入污水收集池，高液位运行，直到收集完上游初期雨水（本项目按照</w:t>
            </w:r>
            <w:r>
              <w:rPr>
                <w:rFonts w:hint="eastAsia" w:cs="Times New Roman"/>
                <w:b w:val="0"/>
                <w:bCs w:val="0"/>
                <w:sz w:val="24"/>
                <w:szCs w:val="24"/>
                <w:highlight w:val="none"/>
                <w:lang w:val="en-US" w:eastAsia="zh-CN"/>
              </w:rPr>
              <w:t>300</w:t>
            </w:r>
            <w:r>
              <w:rPr>
                <w:rFonts w:hint="default" w:ascii="Times New Roman" w:hAnsi="Times New Roman" w:eastAsia="宋体" w:cs="Times New Roman"/>
                <w:b w:val="0"/>
                <w:bCs w:val="0"/>
                <w:sz w:val="24"/>
                <w:szCs w:val="24"/>
                <w:highlight w:val="none"/>
                <w:lang w:val="en-US" w:eastAsia="zh-CN"/>
              </w:rPr>
              <w:t>mm雨水量进行收集）；</w:t>
            </w:r>
          </w:p>
          <w:p w14:paraId="7D0FCC3E">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3）暴雨情况下，污水池内污雨水达到有效容积，关闭进入污水池前的闸门，打开泄洪口闸门，上游所有后期雨水通过泄洪口外排，减少山区雨水，保障下游居民安全。</w:t>
            </w:r>
          </w:p>
          <w:p w14:paraId="466640B5">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rPr>
                <w:rFonts w:hint="default" w:ascii="Times New Roman" w:hAnsi="Times New Roman" w:cs="Times New Roman"/>
                <w:b/>
                <w:bCs/>
                <w:sz w:val="24"/>
                <w:szCs w:val="24"/>
                <w:highlight w:val="none"/>
                <w:lang w:eastAsia="zh-CN"/>
              </w:rPr>
            </w:pPr>
            <w:r>
              <w:rPr>
                <w:rFonts w:hint="default" w:ascii="Times New Roman" w:hAnsi="Times New Roman" w:cs="Times New Roman"/>
                <w:b/>
                <w:bCs/>
                <w:sz w:val="24"/>
                <w:szCs w:val="24"/>
                <w:highlight w:val="none"/>
                <w:lang w:eastAsia="zh-CN"/>
              </w:rPr>
              <w:object>
                <v:shape id="_x0000_i1030" o:spt="75" type="#_x0000_t75" style="height:171pt;width:438pt;" o:ole="t" filled="f" o:preferrelative="t" stroked="t" coordsize="21600,21600">
                  <v:path/>
                  <v:fill on="f" focussize="0,0"/>
                  <v:stroke/>
                  <v:imagedata r:id="rId32" o:title=""/>
                  <o:lock v:ext="edit" aspectratio="f"/>
                  <w10:wrap type="none"/>
                  <w10:anchorlock/>
                </v:shape>
                <o:OLEObject Type="Embed" ProgID="Visio.Drawing.15" ShapeID="_x0000_i1030" DrawAspect="Content" ObjectID="_1468075730" r:id="rId31">
                  <o:LockedField>false</o:LockedField>
                </o:OLEObject>
              </w:object>
            </w:r>
          </w:p>
          <w:p w14:paraId="11AE1B7E">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w:t>
            </w:r>
            <w:r>
              <w:rPr>
                <w:rFonts w:hint="eastAsia" w:cs="Times New Roman"/>
                <w:b/>
                <w:bCs/>
                <w:sz w:val="24"/>
                <w:szCs w:val="24"/>
                <w:highlight w:val="none"/>
                <w:lang w:val="en-US" w:eastAsia="zh-CN"/>
              </w:rPr>
              <w:t xml:space="preserve">4-8 </w:t>
            </w:r>
            <w:r>
              <w:rPr>
                <w:rFonts w:hint="default" w:ascii="Times New Roman" w:hAnsi="Times New Roman" w:eastAsia="宋体" w:cs="Times New Roman"/>
                <w:b/>
                <w:bCs/>
                <w:sz w:val="24"/>
                <w:szCs w:val="24"/>
                <w:highlight w:val="none"/>
                <w:lang w:val="en-US" w:eastAsia="zh-CN"/>
              </w:rPr>
              <w:t xml:space="preserve"> 污、雨水收集池分流建设</w:t>
            </w:r>
            <w:r>
              <w:rPr>
                <w:rFonts w:hint="default" w:cs="Times New Roman"/>
                <w:b/>
                <w:bCs/>
                <w:sz w:val="24"/>
                <w:szCs w:val="24"/>
                <w:highlight w:val="none"/>
                <w:lang w:val="en-US" w:eastAsia="zh-CN"/>
              </w:rPr>
              <w:t>原则</w:t>
            </w:r>
            <w:r>
              <w:rPr>
                <w:rFonts w:hint="default" w:ascii="Times New Roman" w:hAnsi="Times New Roman" w:eastAsia="宋体" w:cs="Times New Roman"/>
                <w:b/>
                <w:bCs/>
                <w:sz w:val="24"/>
                <w:szCs w:val="24"/>
                <w:highlight w:val="none"/>
                <w:lang w:val="en-US" w:eastAsia="zh-CN"/>
              </w:rPr>
              <w:t>示意图</w:t>
            </w:r>
          </w:p>
          <w:p w14:paraId="20D44EA2">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③废水处理工艺设计</w:t>
            </w:r>
          </w:p>
          <w:p w14:paraId="5D80CB5D">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1）混凝竖流沉淀工艺</w:t>
            </w:r>
          </w:p>
          <w:p w14:paraId="28B8F6AB">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◎集水池作为进水收集和废水提升前的贮存单元，设计有效停留是今年宜为10min～30min，可参考全埋地式石砌结构；</w:t>
            </w:r>
          </w:p>
          <w:p w14:paraId="55EB3EDD">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◎助凝剂的投加及混合方式，可考虑采用静态管式混合器，管径不小于100mm，流速应控制在1m/s左右；</w:t>
            </w:r>
          </w:p>
          <w:p w14:paraId="377C637F">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◎竖流沉淀器的设计，应设计为地上式圆形钢制结构；设计表面水力负荷应控制在1m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·h～1.5m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·h，固体负荷不宜大于150kg/m</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·d；设计有效沉淀时间应控制在2.5～3.5h；沉淀池直径与有效水深之比不宜大于3，中心管流速不宜大于30mm/s；沉淀器</w:t>
            </w:r>
            <w:r>
              <w:rPr>
                <w:rFonts w:hint="eastAsia" w:cs="Times New Roman"/>
                <w:b w:val="0"/>
                <w:bCs w:val="0"/>
                <w:sz w:val="24"/>
                <w:szCs w:val="24"/>
                <w:highlight w:val="none"/>
                <w:lang w:val="en-US" w:eastAsia="zh-CN"/>
              </w:rPr>
              <w:t>宜</w:t>
            </w:r>
            <w:r>
              <w:rPr>
                <w:rFonts w:hint="default" w:ascii="Times New Roman" w:hAnsi="Times New Roman" w:eastAsia="宋体" w:cs="Times New Roman"/>
                <w:b w:val="0"/>
                <w:bCs w:val="0"/>
                <w:sz w:val="24"/>
                <w:szCs w:val="24"/>
                <w:highlight w:val="none"/>
                <w:lang w:val="en-US" w:eastAsia="zh-CN"/>
              </w:rPr>
              <w:t>考虑设置漂浮物的撇除、输送等设施；宜采用污泥斗静水压排泥方式，每个污泥斗均应设单独的闸阀和排泥管，管径不宜小于150mm；</w:t>
            </w:r>
          </w:p>
          <w:p w14:paraId="6952AB4D">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◎回用清水罐可多座共用，设计有效停留时间宜为0.5h～1.0h；</w:t>
            </w:r>
          </w:p>
          <w:p w14:paraId="32993C7D">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◎切割废水湿污泥的含水率约为96%，经过离心脱水或压滤脱水后含水率可达到80%左右；</w:t>
            </w:r>
          </w:p>
          <w:p w14:paraId="7EAEA87C">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◎污泥排放和脱水考虑连续运转方式，脱水设备宜选用卧螺离心沉降脱水机也可考虑板框压滤机。</w:t>
            </w:r>
          </w:p>
          <w:p w14:paraId="0AAC66E5">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2）混凝平流沉淀工艺</w:t>
            </w:r>
          </w:p>
          <w:p w14:paraId="704294B6">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◎平流沉淀池宜设计为埋地式石砌结构，池内还可以考虑分格回旋溢流；</w:t>
            </w:r>
          </w:p>
          <w:p w14:paraId="0A915361">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沉淀池设计水平流速不宜大于5mm/s，缓冲层高度取0.5m；沉淀池每格长宽比不宜小于4，长深比不宜小于8，池长不宜大于60m；池底集泥可考虑非机械排泥方式，坡向泥斗的底坡不宜小于0.05；沉淀池宜考虑设置进、出水挡板，以</w:t>
            </w:r>
            <w:r>
              <w:rPr>
                <w:rFonts w:hint="eastAsia" w:cs="Times New Roman"/>
                <w:b w:val="0"/>
                <w:bCs w:val="0"/>
                <w:sz w:val="24"/>
                <w:szCs w:val="24"/>
                <w:highlight w:val="none"/>
                <w:lang w:val="en-US" w:eastAsia="zh-CN"/>
              </w:rPr>
              <w:t>隔挡</w:t>
            </w:r>
            <w:r>
              <w:rPr>
                <w:rFonts w:hint="default" w:ascii="Times New Roman" w:hAnsi="Times New Roman" w:eastAsia="宋体" w:cs="Times New Roman"/>
                <w:b w:val="0"/>
                <w:bCs w:val="0"/>
                <w:sz w:val="24"/>
                <w:szCs w:val="24"/>
                <w:highlight w:val="none"/>
                <w:lang w:val="en-US" w:eastAsia="zh-CN"/>
              </w:rPr>
              <w:t>和撇除漂浮物；</w:t>
            </w:r>
          </w:p>
          <w:p w14:paraId="1ECE9E50">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◎清水池可考虑2组沉淀池共用，设计停留时间宜为0.5h～1.0h；</w:t>
            </w:r>
          </w:p>
          <w:p w14:paraId="5CADCE1F">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◎切割废水宜采取相应脱水设备，且干污泥需定期外运清走；</w:t>
            </w:r>
          </w:p>
          <w:p w14:paraId="2A877D6C">
            <w:pPr>
              <w:ind w:firstLine="480" w:firstLineChars="200"/>
              <w:rPr>
                <w:rFonts w:hint="default" w:ascii="Times New Roman" w:hAnsi="Times New Roman" w:cs="Times New Roman"/>
                <w:bCs/>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◎其他有关设计，应符合GB50014规定的要求。</w:t>
            </w:r>
          </w:p>
          <w:p w14:paraId="09D44E50">
            <w:pPr>
              <w:shd w:val="clear" w:color="auto" w:fill="auto"/>
              <w:adjustRightInd w:val="0"/>
              <w:snapToGrid w:val="0"/>
              <w:spacing w:line="360" w:lineRule="auto"/>
              <w:ind w:firstLine="482" w:firstLineChars="200"/>
              <w:jc w:val="left"/>
              <w:rPr>
                <w:rFonts w:hint="default" w:ascii="Times New Roman" w:hAnsi="Times New Roman" w:cs="Times New Roman"/>
                <w:b/>
                <w:bCs/>
                <w:color w:val="000000"/>
                <w:sz w:val="24"/>
                <w:highlight w:val="none"/>
              </w:rPr>
            </w:pPr>
            <w:r>
              <w:rPr>
                <w:rFonts w:hint="default" w:ascii="Times New Roman" w:hAnsi="Times New Roman" w:cs="Times New Roman"/>
                <w:b/>
                <w:bCs w:val="0"/>
                <w:color w:val="000000"/>
                <w:sz w:val="24"/>
                <w:highlight w:val="none"/>
              </w:rPr>
              <w:t>废气</w:t>
            </w:r>
          </w:p>
          <w:p w14:paraId="45580332">
            <w:pPr>
              <w:shd w:val="clear" w:color="auto" w:fill="auto"/>
              <w:adjustRightInd w:val="0"/>
              <w:snapToGrid w:val="0"/>
              <w:spacing w:line="360" w:lineRule="auto"/>
              <w:ind w:firstLine="482" w:firstLineChars="200"/>
              <w:jc w:val="left"/>
              <w:rPr>
                <w:rFonts w:hint="default" w:ascii="Times New Roman" w:hAnsi="Times New Roman" w:cs="Times New Roman"/>
                <w:b/>
                <w:bCs w:val="0"/>
                <w:color w:val="000000"/>
                <w:sz w:val="24"/>
                <w:highlight w:val="none"/>
              </w:rPr>
            </w:pPr>
            <w:r>
              <w:rPr>
                <w:rFonts w:hint="default" w:ascii="Times New Roman" w:hAnsi="Times New Roman" w:cs="Times New Roman"/>
                <w:b/>
                <w:bCs w:val="0"/>
                <w:color w:val="000000"/>
                <w:sz w:val="24"/>
                <w:highlight w:val="none"/>
              </w:rPr>
              <w:t>废气处理设施</w:t>
            </w:r>
          </w:p>
          <w:p w14:paraId="510AE02F">
            <w:pPr>
              <w:pStyle w:val="6"/>
              <w:keepNext w:val="0"/>
              <w:keepLines w:val="0"/>
              <w:pageBreakBefore w:val="0"/>
              <w:widowControl w:val="0"/>
              <w:numPr>
                <w:ilvl w:val="-1"/>
                <w:numId w:val="0"/>
              </w:numPr>
              <w:kinsoku/>
              <w:wordWrap/>
              <w:overflowPunct/>
              <w:topLinePunct w:val="0"/>
              <w:autoSpaceDE w:val="0"/>
              <w:autoSpaceDN w:val="0"/>
              <w:bidi w:val="0"/>
              <w:adjustRightInd/>
              <w:snapToGrid/>
              <w:spacing w:line="360" w:lineRule="auto"/>
              <w:ind w:left="0" w:leftChars="0" w:firstLine="480" w:firstLineChars="200"/>
              <w:jc w:val="both"/>
              <w:textAlignment w:val="top"/>
              <w:rPr>
                <w:rFonts w:hint="default" w:ascii="Times New Roman" w:hAnsi="Times New Roman" w:eastAsia="宋体" w:cs="Times New Roman"/>
                <w:b w:val="0"/>
                <w:bCs w:val="0"/>
                <w:color w:val="auto"/>
                <w:spacing w:val="0"/>
                <w:kern w:val="2"/>
                <w:sz w:val="24"/>
                <w:szCs w:val="24"/>
                <w:lang w:val="en-US" w:eastAsia="zh-CN" w:bidi="ar-SA"/>
              </w:rPr>
            </w:pPr>
            <w:r>
              <w:rPr>
                <w:rFonts w:hint="default" w:ascii="Times New Roman" w:hAnsi="Times New Roman" w:eastAsia="宋体" w:cs="Times New Roman"/>
                <w:b w:val="0"/>
                <w:bCs w:val="0"/>
                <w:color w:val="auto"/>
                <w:spacing w:val="0"/>
                <w:kern w:val="2"/>
                <w:sz w:val="24"/>
                <w:szCs w:val="24"/>
                <w:lang w:val="en-US" w:eastAsia="zh-CN" w:bidi="ar-SA"/>
              </w:rPr>
              <w:t>项目生产过程中产生的废气有切割分离粉尘、装卸扬尘、运输扬尘、动力机械燃油尾气，现采取的防治措施如下：</w:t>
            </w:r>
          </w:p>
          <w:p w14:paraId="6D09860A">
            <w:pPr>
              <w:pStyle w:val="6"/>
              <w:keepNext w:val="0"/>
              <w:keepLines w:val="0"/>
              <w:pageBreakBefore w:val="0"/>
              <w:widowControl w:val="0"/>
              <w:numPr>
                <w:ilvl w:val="-1"/>
                <w:numId w:val="0"/>
              </w:numPr>
              <w:kinsoku/>
              <w:wordWrap/>
              <w:overflowPunct/>
              <w:topLinePunct w:val="0"/>
              <w:autoSpaceDE w:val="0"/>
              <w:autoSpaceDN w:val="0"/>
              <w:bidi w:val="0"/>
              <w:adjustRightInd/>
              <w:snapToGrid/>
              <w:spacing w:line="360" w:lineRule="auto"/>
              <w:ind w:left="0" w:leftChars="0" w:firstLine="480" w:firstLineChars="200"/>
              <w:jc w:val="both"/>
              <w:textAlignment w:val="top"/>
              <w:rPr>
                <w:rFonts w:hint="eastAsia" w:ascii="Times New Roman" w:hAnsi="Times New Roman" w:eastAsia="宋体" w:cs="Times New Roman"/>
                <w:b w:val="0"/>
                <w:bCs w:val="0"/>
                <w:color w:val="auto"/>
                <w:spacing w:val="0"/>
                <w:kern w:val="2"/>
                <w:sz w:val="24"/>
                <w:szCs w:val="24"/>
                <w:lang w:val="en-US" w:eastAsia="zh-CN" w:bidi="ar-SA"/>
              </w:rPr>
            </w:pPr>
            <w:r>
              <w:rPr>
                <w:rFonts w:hint="default" w:ascii="Times New Roman" w:hAnsi="Times New Roman" w:eastAsia="宋体" w:cs="Times New Roman"/>
                <w:b w:val="0"/>
                <w:bCs w:val="0"/>
                <w:color w:val="auto"/>
                <w:spacing w:val="0"/>
                <w:kern w:val="2"/>
                <w:sz w:val="24"/>
                <w:szCs w:val="24"/>
                <w:lang w:val="en-US" w:eastAsia="zh-CN" w:bidi="ar-SA"/>
              </w:rPr>
              <w:fldChar w:fldCharType="begin"/>
            </w:r>
            <w:r>
              <w:rPr>
                <w:rFonts w:hint="default" w:ascii="Times New Roman" w:hAnsi="Times New Roman" w:eastAsia="宋体" w:cs="Times New Roman"/>
                <w:b w:val="0"/>
                <w:bCs w:val="0"/>
                <w:color w:val="auto"/>
                <w:spacing w:val="0"/>
                <w:kern w:val="2"/>
                <w:sz w:val="24"/>
                <w:szCs w:val="24"/>
                <w:lang w:val="en-US" w:eastAsia="zh-CN" w:bidi="ar-SA"/>
              </w:rPr>
              <w:instrText xml:space="preserve"> = 1 \* GB3 </w:instrText>
            </w:r>
            <w:r>
              <w:rPr>
                <w:rFonts w:hint="default" w:ascii="Times New Roman" w:hAnsi="Times New Roman" w:eastAsia="宋体" w:cs="Times New Roman"/>
                <w:b w:val="0"/>
                <w:bCs w:val="0"/>
                <w:color w:val="auto"/>
                <w:spacing w:val="0"/>
                <w:kern w:val="2"/>
                <w:sz w:val="24"/>
                <w:szCs w:val="24"/>
                <w:lang w:val="en-US" w:eastAsia="zh-CN" w:bidi="ar-SA"/>
              </w:rPr>
              <w:fldChar w:fldCharType="separate"/>
            </w:r>
            <w:r>
              <w:rPr>
                <w:rFonts w:hint="default" w:ascii="Times New Roman" w:hAnsi="Times New Roman" w:eastAsia="宋体" w:cs="Times New Roman"/>
                <w:b w:val="0"/>
                <w:bCs w:val="0"/>
                <w:color w:val="auto"/>
                <w:spacing w:val="0"/>
                <w:kern w:val="2"/>
                <w:sz w:val="24"/>
                <w:szCs w:val="24"/>
                <w:lang w:val="en-US" w:eastAsia="zh-CN" w:bidi="ar-SA"/>
              </w:rPr>
              <w:t>①</w:t>
            </w:r>
            <w:r>
              <w:rPr>
                <w:rFonts w:hint="default" w:ascii="Times New Roman" w:hAnsi="Times New Roman" w:eastAsia="宋体" w:cs="Times New Roman"/>
                <w:b w:val="0"/>
                <w:bCs w:val="0"/>
                <w:color w:val="auto"/>
                <w:spacing w:val="0"/>
                <w:kern w:val="2"/>
                <w:sz w:val="24"/>
                <w:szCs w:val="24"/>
                <w:lang w:val="en-US" w:eastAsia="zh-CN" w:bidi="ar-SA"/>
              </w:rPr>
              <w:fldChar w:fldCharType="end"/>
            </w:r>
            <w:r>
              <w:rPr>
                <w:rFonts w:hint="eastAsia" w:ascii="Times New Roman" w:hAnsi="Times New Roman" w:eastAsia="宋体" w:cs="Times New Roman"/>
                <w:b w:val="0"/>
                <w:bCs w:val="0"/>
                <w:color w:val="auto"/>
                <w:spacing w:val="0"/>
                <w:kern w:val="2"/>
                <w:sz w:val="24"/>
                <w:szCs w:val="24"/>
                <w:lang w:val="en-US" w:eastAsia="zh-CN" w:bidi="ar-SA"/>
              </w:rPr>
              <w:t>切割分离</w:t>
            </w:r>
            <w:r>
              <w:rPr>
                <w:rFonts w:hint="default" w:ascii="Times New Roman" w:hAnsi="Times New Roman" w:eastAsia="宋体" w:cs="Times New Roman"/>
                <w:b w:val="0"/>
                <w:bCs w:val="0"/>
                <w:color w:val="auto"/>
                <w:spacing w:val="0"/>
                <w:kern w:val="2"/>
                <w:sz w:val="24"/>
                <w:szCs w:val="24"/>
                <w:lang w:val="en-US" w:eastAsia="zh-CN" w:bidi="ar-SA"/>
              </w:rPr>
              <w:t>粉尘</w:t>
            </w:r>
            <w:r>
              <w:rPr>
                <w:rFonts w:hint="eastAsia" w:ascii="Times New Roman" w:hAnsi="Times New Roman" w:eastAsia="宋体" w:cs="Times New Roman"/>
                <w:b w:val="0"/>
                <w:bCs w:val="0"/>
                <w:color w:val="auto"/>
                <w:spacing w:val="0"/>
                <w:kern w:val="2"/>
                <w:sz w:val="24"/>
                <w:szCs w:val="24"/>
                <w:lang w:val="en-US" w:eastAsia="zh-CN" w:bidi="ar-SA"/>
              </w:rPr>
              <w:t>：采取湿法切割</w:t>
            </w:r>
            <w:r>
              <w:rPr>
                <w:rFonts w:hint="default" w:ascii="Times New Roman" w:hAnsi="Times New Roman" w:eastAsia="宋体" w:cs="Times New Roman"/>
                <w:b w:val="0"/>
                <w:bCs w:val="0"/>
                <w:color w:val="auto"/>
                <w:spacing w:val="0"/>
                <w:kern w:val="2"/>
                <w:sz w:val="24"/>
                <w:szCs w:val="24"/>
                <w:lang w:val="en-US" w:eastAsia="zh-CN" w:bidi="ar-SA"/>
              </w:rPr>
              <w:t>，同时采取洒水降尘</w:t>
            </w:r>
            <w:r>
              <w:rPr>
                <w:rFonts w:hint="eastAsia" w:ascii="Times New Roman" w:hAnsi="Times New Roman" w:eastAsia="宋体" w:cs="Times New Roman"/>
                <w:b w:val="0"/>
                <w:bCs w:val="0"/>
                <w:color w:val="auto"/>
                <w:spacing w:val="0"/>
                <w:kern w:val="2"/>
                <w:sz w:val="24"/>
                <w:szCs w:val="24"/>
                <w:lang w:val="en-US" w:eastAsia="zh-CN" w:bidi="ar-SA"/>
              </w:rPr>
              <w:t>；</w:t>
            </w:r>
          </w:p>
          <w:p w14:paraId="300D586C">
            <w:pPr>
              <w:pStyle w:val="6"/>
              <w:keepNext w:val="0"/>
              <w:keepLines w:val="0"/>
              <w:pageBreakBefore w:val="0"/>
              <w:widowControl w:val="0"/>
              <w:numPr>
                <w:ilvl w:val="-1"/>
                <w:numId w:val="0"/>
              </w:numPr>
              <w:kinsoku/>
              <w:wordWrap/>
              <w:overflowPunct/>
              <w:topLinePunct w:val="0"/>
              <w:autoSpaceDE w:val="0"/>
              <w:autoSpaceDN w:val="0"/>
              <w:bidi w:val="0"/>
              <w:adjustRightInd/>
              <w:snapToGrid/>
              <w:spacing w:line="360" w:lineRule="auto"/>
              <w:ind w:left="0" w:leftChars="0" w:firstLine="480" w:firstLineChars="200"/>
              <w:jc w:val="both"/>
              <w:textAlignment w:val="top"/>
              <w:rPr>
                <w:rFonts w:hint="eastAsia" w:ascii="Times New Roman" w:hAnsi="Times New Roman" w:eastAsia="宋体" w:cs="Times New Roman"/>
                <w:b w:val="0"/>
                <w:bCs w:val="0"/>
                <w:color w:val="auto"/>
                <w:spacing w:val="0"/>
                <w:kern w:val="2"/>
                <w:sz w:val="24"/>
                <w:szCs w:val="24"/>
                <w:lang w:val="en-US" w:eastAsia="zh-CN" w:bidi="ar-SA"/>
              </w:rPr>
            </w:pPr>
            <w:r>
              <w:rPr>
                <w:rFonts w:hint="default" w:ascii="Times New Roman" w:hAnsi="Times New Roman" w:eastAsia="宋体" w:cs="Times New Roman"/>
                <w:b w:val="0"/>
                <w:bCs w:val="0"/>
                <w:color w:val="auto"/>
                <w:spacing w:val="0"/>
                <w:kern w:val="2"/>
                <w:sz w:val="24"/>
                <w:szCs w:val="24"/>
                <w:lang w:val="en-US" w:eastAsia="zh-CN" w:bidi="ar-SA"/>
              </w:rPr>
              <w:fldChar w:fldCharType="begin"/>
            </w:r>
            <w:r>
              <w:rPr>
                <w:rFonts w:hint="default" w:ascii="Times New Roman" w:hAnsi="Times New Roman" w:eastAsia="宋体" w:cs="Times New Roman"/>
                <w:b w:val="0"/>
                <w:bCs w:val="0"/>
                <w:color w:val="auto"/>
                <w:spacing w:val="0"/>
                <w:kern w:val="2"/>
                <w:sz w:val="24"/>
                <w:szCs w:val="24"/>
                <w:lang w:val="en-US" w:eastAsia="zh-CN" w:bidi="ar-SA"/>
              </w:rPr>
              <w:instrText xml:space="preserve"> = 2 \* GB3 </w:instrText>
            </w:r>
            <w:r>
              <w:rPr>
                <w:rFonts w:hint="default" w:ascii="Times New Roman" w:hAnsi="Times New Roman" w:eastAsia="宋体" w:cs="Times New Roman"/>
                <w:b w:val="0"/>
                <w:bCs w:val="0"/>
                <w:color w:val="auto"/>
                <w:spacing w:val="0"/>
                <w:kern w:val="2"/>
                <w:sz w:val="24"/>
                <w:szCs w:val="24"/>
                <w:lang w:val="en-US" w:eastAsia="zh-CN" w:bidi="ar-SA"/>
              </w:rPr>
              <w:fldChar w:fldCharType="separate"/>
            </w:r>
            <w:r>
              <w:rPr>
                <w:rFonts w:hint="default" w:ascii="Times New Roman" w:hAnsi="Times New Roman" w:eastAsia="宋体" w:cs="Times New Roman"/>
                <w:b w:val="0"/>
                <w:bCs w:val="0"/>
                <w:color w:val="auto"/>
                <w:spacing w:val="0"/>
                <w:kern w:val="2"/>
                <w:sz w:val="24"/>
                <w:szCs w:val="24"/>
                <w:lang w:val="en-US" w:eastAsia="zh-CN" w:bidi="ar-SA"/>
              </w:rPr>
              <w:t>②</w:t>
            </w:r>
            <w:r>
              <w:rPr>
                <w:rFonts w:hint="default" w:ascii="Times New Roman" w:hAnsi="Times New Roman" w:eastAsia="宋体" w:cs="Times New Roman"/>
                <w:b w:val="0"/>
                <w:bCs w:val="0"/>
                <w:color w:val="auto"/>
                <w:spacing w:val="0"/>
                <w:kern w:val="2"/>
                <w:sz w:val="24"/>
                <w:szCs w:val="24"/>
                <w:lang w:val="en-US" w:eastAsia="zh-CN" w:bidi="ar-SA"/>
              </w:rPr>
              <w:fldChar w:fldCharType="end"/>
            </w:r>
            <w:r>
              <w:rPr>
                <w:rFonts w:hint="default" w:ascii="Times New Roman" w:hAnsi="Times New Roman" w:eastAsia="宋体" w:cs="Times New Roman"/>
                <w:b w:val="0"/>
                <w:bCs w:val="0"/>
                <w:color w:val="auto"/>
                <w:spacing w:val="0"/>
                <w:kern w:val="2"/>
                <w:sz w:val="24"/>
                <w:szCs w:val="24"/>
                <w:lang w:val="en-US" w:eastAsia="zh-CN" w:bidi="ar-SA"/>
              </w:rPr>
              <w:t>剥离粉尘</w:t>
            </w:r>
            <w:r>
              <w:rPr>
                <w:rFonts w:hint="eastAsia" w:ascii="Times New Roman" w:hAnsi="Times New Roman" w:eastAsia="宋体" w:cs="Times New Roman"/>
                <w:b w:val="0"/>
                <w:bCs w:val="0"/>
                <w:color w:val="auto"/>
                <w:spacing w:val="0"/>
                <w:kern w:val="2"/>
                <w:sz w:val="24"/>
                <w:szCs w:val="24"/>
                <w:lang w:val="en-US" w:eastAsia="zh-CN" w:bidi="ar-SA"/>
              </w:rPr>
              <w:t>、</w:t>
            </w:r>
            <w:r>
              <w:rPr>
                <w:rFonts w:hint="default" w:ascii="Times New Roman" w:hAnsi="Times New Roman" w:eastAsia="宋体" w:cs="Times New Roman"/>
                <w:b w:val="0"/>
                <w:bCs w:val="0"/>
                <w:color w:val="auto"/>
                <w:spacing w:val="0"/>
                <w:kern w:val="2"/>
                <w:sz w:val="24"/>
                <w:szCs w:val="24"/>
                <w:lang w:val="en-US" w:eastAsia="zh-CN" w:bidi="ar-SA"/>
              </w:rPr>
              <w:t>装卸扬尘、运输扬尘</w:t>
            </w:r>
            <w:r>
              <w:rPr>
                <w:rFonts w:hint="eastAsia" w:ascii="Times New Roman" w:hAnsi="Times New Roman" w:eastAsia="宋体" w:cs="Times New Roman"/>
                <w:b w:val="0"/>
                <w:bCs w:val="0"/>
                <w:color w:val="auto"/>
                <w:spacing w:val="0"/>
                <w:kern w:val="2"/>
                <w:sz w:val="24"/>
                <w:szCs w:val="24"/>
                <w:lang w:val="en-US" w:eastAsia="zh-CN" w:bidi="ar-SA"/>
              </w:rPr>
              <w:t>：</w:t>
            </w:r>
            <w:r>
              <w:rPr>
                <w:rFonts w:hint="default" w:ascii="Times New Roman" w:hAnsi="Times New Roman" w:eastAsia="宋体" w:cs="Times New Roman"/>
                <w:b w:val="0"/>
                <w:bCs w:val="0"/>
                <w:color w:val="auto"/>
                <w:spacing w:val="0"/>
                <w:kern w:val="2"/>
                <w:sz w:val="24"/>
                <w:szCs w:val="24"/>
                <w:lang w:val="en-US" w:eastAsia="zh-CN" w:bidi="ar-SA"/>
              </w:rPr>
              <w:t>采取洒水降尘</w:t>
            </w:r>
            <w:r>
              <w:rPr>
                <w:rFonts w:hint="eastAsia" w:ascii="Times New Roman" w:hAnsi="Times New Roman" w:eastAsia="宋体" w:cs="Times New Roman"/>
                <w:b w:val="0"/>
                <w:bCs w:val="0"/>
                <w:color w:val="auto"/>
                <w:spacing w:val="0"/>
                <w:kern w:val="2"/>
                <w:sz w:val="24"/>
                <w:szCs w:val="24"/>
                <w:lang w:val="en-US" w:eastAsia="zh-CN" w:bidi="ar-SA"/>
              </w:rPr>
              <w:t>；</w:t>
            </w:r>
          </w:p>
          <w:p w14:paraId="54C8D9FF">
            <w:pPr>
              <w:pStyle w:val="6"/>
              <w:keepNext w:val="0"/>
              <w:keepLines w:val="0"/>
              <w:pageBreakBefore w:val="0"/>
              <w:widowControl w:val="0"/>
              <w:numPr>
                <w:ilvl w:val="-1"/>
                <w:numId w:val="0"/>
              </w:numPr>
              <w:kinsoku/>
              <w:wordWrap/>
              <w:overflowPunct/>
              <w:topLinePunct w:val="0"/>
              <w:autoSpaceDE w:val="0"/>
              <w:autoSpaceDN w:val="0"/>
              <w:bidi w:val="0"/>
              <w:adjustRightInd/>
              <w:snapToGrid/>
              <w:spacing w:line="360" w:lineRule="auto"/>
              <w:ind w:left="0" w:leftChars="0" w:firstLine="480" w:firstLineChars="200"/>
              <w:jc w:val="both"/>
              <w:textAlignment w:val="top"/>
              <w:rPr>
                <w:rFonts w:hint="default" w:ascii="Times New Roman" w:hAnsi="Times New Roman" w:eastAsia="宋体" w:cs="Times New Roman"/>
                <w:b/>
                <w:sz w:val="24"/>
                <w:lang w:val="en-US" w:eastAsia="zh-CN"/>
              </w:rPr>
            </w:pPr>
            <w:r>
              <w:rPr>
                <w:rFonts w:hint="default" w:ascii="Times New Roman" w:hAnsi="Times New Roman" w:eastAsia="宋体" w:cs="Times New Roman"/>
                <w:b w:val="0"/>
                <w:bCs w:val="0"/>
                <w:color w:val="auto"/>
                <w:spacing w:val="0"/>
                <w:kern w:val="2"/>
                <w:sz w:val="24"/>
                <w:szCs w:val="24"/>
                <w:lang w:val="en-US" w:eastAsia="zh-CN" w:bidi="ar-SA"/>
              </w:rPr>
              <w:fldChar w:fldCharType="begin"/>
            </w:r>
            <w:r>
              <w:rPr>
                <w:rFonts w:hint="default" w:ascii="Times New Roman" w:hAnsi="Times New Roman" w:eastAsia="宋体" w:cs="Times New Roman"/>
                <w:b w:val="0"/>
                <w:bCs w:val="0"/>
                <w:color w:val="auto"/>
                <w:spacing w:val="0"/>
                <w:kern w:val="2"/>
                <w:sz w:val="24"/>
                <w:szCs w:val="24"/>
                <w:lang w:val="en-US" w:eastAsia="zh-CN" w:bidi="ar-SA"/>
              </w:rPr>
              <w:instrText xml:space="preserve"> = 3 \* GB3 </w:instrText>
            </w:r>
            <w:r>
              <w:rPr>
                <w:rFonts w:hint="default" w:ascii="Times New Roman" w:hAnsi="Times New Roman" w:eastAsia="宋体" w:cs="Times New Roman"/>
                <w:b w:val="0"/>
                <w:bCs w:val="0"/>
                <w:color w:val="auto"/>
                <w:spacing w:val="0"/>
                <w:kern w:val="2"/>
                <w:sz w:val="24"/>
                <w:szCs w:val="24"/>
                <w:lang w:val="en-US" w:eastAsia="zh-CN" w:bidi="ar-SA"/>
              </w:rPr>
              <w:fldChar w:fldCharType="separate"/>
            </w:r>
            <w:r>
              <w:rPr>
                <w:rFonts w:hint="default" w:ascii="Times New Roman" w:hAnsi="Times New Roman" w:eastAsia="宋体" w:cs="Times New Roman"/>
                <w:b w:val="0"/>
                <w:bCs w:val="0"/>
                <w:color w:val="auto"/>
                <w:spacing w:val="0"/>
                <w:kern w:val="2"/>
                <w:sz w:val="24"/>
                <w:szCs w:val="24"/>
                <w:lang w:val="en-US" w:eastAsia="zh-CN" w:bidi="ar-SA"/>
              </w:rPr>
              <w:t>③</w:t>
            </w:r>
            <w:r>
              <w:rPr>
                <w:rFonts w:hint="default" w:ascii="Times New Roman" w:hAnsi="Times New Roman" w:eastAsia="宋体" w:cs="Times New Roman"/>
                <w:b w:val="0"/>
                <w:bCs w:val="0"/>
                <w:color w:val="auto"/>
                <w:spacing w:val="0"/>
                <w:kern w:val="2"/>
                <w:sz w:val="24"/>
                <w:szCs w:val="24"/>
                <w:lang w:val="en-US" w:eastAsia="zh-CN" w:bidi="ar-SA"/>
              </w:rPr>
              <w:fldChar w:fldCharType="end"/>
            </w:r>
            <w:r>
              <w:rPr>
                <w:rFonts w:hint="default" w:ascii="Times New Roman" w:hAnsi="Times New Roman" w:eastAsia="宋体" w:cs="Times New Roman"/>
                <w:b w:val="0"/>
                <w:bCs w:val="0"/>
                <w:color w:val="auto"/>
                <w:spacing w:val="0"/>
                <w:kern w:val="2"/>
                <w:sz w:val="24"/>
                <w:szCs w:val="24"/>
                <w:lang w:val="en-US" w:eastAsia="zh-CN" w:bidi="ar-SA"/>
              </w:rPr>
              <w:t>动力机械燃油尾气</w:t>
            </w:r>
            <w:r>
              <w:rPr>
                <w:rFonts w:hint="eastAsia" w:ascii="Times New Roman" w:hAnsi="Times New Roman" w:eastAsia="宋体" w:cs="Times New Roman"/>
                <w:b w:val="0"/>
                <w:bCs w:val="0"/>
                <w:color w:val="auto"/>
                <w:spacing w:val="0"/>
                <w:kern w:val="2"/>
                <w:sz w:val="24"/>
                <w:szCs w:val="24"/>
                <w:lang w:val="en-US" w:eastAsia="zh-CN" w:bidi="ar-SA"/>
              </w:rPr>
              <w:t>：</w:t>
            </w:r>
            <w:r>
              <w:rPr>
                <w:rFonts w:hint="default" w:ascii="Times New Roman" w:hAnsi="Times New Roman" w:eastAsia="宋体" w:cs="Times New Roman"/>
                <w:b w:val="0"/>
                <w:bCs w:val="0"/>
                <w:color w:val="auto"/>
                <w:spacing w:val="0"/>
                <w:kern w:val="2"/>
                <w:sz w:val="24"/>
                <w:szCs w:val="24"/>
                <w:lang w:val="en-US" w:eastAsia="zh-CN" w:bidi="ar-SA"/>
              </w:rPr>
              <w:t>自然通风扩散</w:t>
            </w:r>
            <w:r>
              <w:rPr>
                <w:rFonts w:hint="eastAsia" w:ascii="Times New Roman" w:hAnsi="Times New Roman" w:eastAsia="宋体" w:cs="Times New Roman"/>
                <w:b w:val="0"/>
                <w:bCs w:val="0"/>
                <w:color w:val="auto"/>
                <w:spacing w:val="0"/>
                <w:kern w:val="2"/>
                <w:sz w:val="24"/>
                <w:szCs w:val="24"/>
                <w:lang w:val="en-US" w:eastAsia="zh-CN" w:bidi="ar-SA"/>
              </w:rPr>
              <w:t>；</w:t>
            </w:r>
          </w:p>
        </w:tc>
      </w:tr>
      <w:tr w14:paraId="6BC906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5000" w:type="pct"/>
            <w:gridSpan w:val="2"/>
            <w:tcBorders>
              <w:tl2br w:val="nil"/>
              <w:tr2bl w:val="nil"/>
            </w:tcBorders>
            <w:noWrap w:val="0"/>
            <w:vAlign w:val="top"/>
          </w:tcPr>
          <w:p w14:paraId="5A5E07B8">
            <w:pPr>
              <w:pStyle w:val="23"/>
              <w:spacing w:line="360" w:lineRule="auto"/>
              <w:jc w:val="both"/>
              <w:rPr>
                <w:rFonts w:hint="default" w:ascii="Times New Roman" w:hAnsi="Times New Roman" w:eastAsia="宋体" w:cs="Times New Roman"/>
                <w:b/>
                <w:sz w:val="28"/>
              </w:rPr>
            </w:pPr>
            <w:r>
              <w:rPr>
                <w:rFonts w:hint="default" w:ascii="Times New Roman" w:hAnsi="Times New Roman" w:eastAsia="宋体" w:cs="Times New Roman"/>
                <w:b/>
                <w:sz w:val="28"/>
                <w:lang w:val="en-US" w:eastAsia="zh-CN"/>
              </w:rPr>
              <w:t>工程环境保护投资明细</w:t>
            </w:r>
          </w:p>
          <w:p w14:paraId="1FCEB8A4">
            <w:pPr>
              <w:keepNext w:val="0"/>
              <w:keepLines w:val="0"/>
              <w:pageBreakBefore w:val="0"/>
              <w:widowControl w:val="0"/>
              <w:kinsoku/>
              <w:wordWrap/>
              <w:overflowPunct/>
              <w:topLinePunct w:val="0"/>
              <w:autoSpaceDE/>
              <w:autoSpaceDN/>
              <w:bidi w:val="0"/>
              <w:adjustRightInd/>
              <w:snapToGrid w:val="0"/>
              <w:spacing w:before="120" w:beforeLines="50" w:line="360" w:lineRule="auto"/>
              <w:ind w:firstLine="480" w:firstLineChars="200"/>
              <w:jc w:val="left"/>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本项目总投资</w:t>
            </w:r>
            <w:r>
              <w:rPr>
                <w:rFonts w:hint="eastAsia" w:ascii="Times New Roman" w:hAnsi="Times New Roman" w:eastAsia="宋体" w:cs="Times New Roman"/>
                <w:color w:val="000000"/>
                <w:sz w:val="24"/>
                <w:szCs w:val="24"/>
                <w:highlight w:val="none"/>
                <w:lang w:val="en-US" w:eastAsia="zh-CN"/>
              </w:rPr>
              <w:t>22067.48</w:t>
            </w:r>
            <w:r>
              <w:rPr>
                <w:rFonts w:hint="default" w:ascii="Times New Roman" w:hAnsi="Times New Roman" w:cs="Times New Roman"/>
                <w:color w:val="000000"/>
                <w:sz w:val="24"/>
                <w:szCs w:val="24"/>
                <w:highlight w:val="none"/>
              </w:rPr>
              <w:t>万元人民币，其中环保投资约</w:t>
            </w:r>
            <w:r>
              <w:rPr>
                <w:rFonts w:hint="eastAsia" w:cs="Times New Roman"/>
                <w:color w:val="000000"/>
                <w:spacing w:val="9"/>
                <w:sz w:val="24"/>
                <w:szCs w:val="24"/>
                <w:lang w:val="en-US" w:eastAsia="zh-CN"/>
              </w:rPr>
              <w:t>2662</w:t>
            </w:r>
            <w:r>
              <w:rPr>
                <w:rFonts w:hint="default" w:ascii="Times New Roman" w:hAnsi="Times New Roman" w:cs="Times New Roman"/>
                <w:color w:val="000000"/>
                <w:sz w:val="24"/>
                <w:szCs w:val="24"/>
                <w:highlight w:val="none"/>
              </w:rPr>
              <w:t>万元人民币，占项目总投资的</w:t>
            </w:r>
            <w:r>
              <w:rPr>
                <w:rFonts w:hint="eastAsia" w:cs="Times New Roman"/>
                <w:color w:val="000000"/>
                <w:sz w:val="24"/>
                <w:szCs w:val="24"/>
                <w:highlight w:val="none"/>
                <w:lang w:val="en-US" w:eastAsia="zh-CN"/>
              </w:rPr>
              <w:t>12.1</w:t>
            </w:r>
            <w:r>
              <w:rPr>
                <w:rFonts w:hint="default" w:ascii="Times New Roman" w:hAnsi="Times New Roman" w:cs="Times New Roman"/>
                <w:color w:val="000000"/>
                <w:sz w:val="24"/>
                <w:szCs w:val="24"/>
                <w:highlight w:val="none"/>
              </w:rPr>
              <w:t>％，具体投资估算及“三同时”验收见下表。</w:t>
            </w:r>
          </w:p>
          <w:p w14:paraId="7CD8E1DE">
            <w:pPr>
              <w:snapToGrid w:val="0"/>
              <w:spacing w:before="120" w:beforeLines="5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w:t>
            </w:r>
            <w:r>
              <w:rPr>
                <w:rFonts w:hint="eastAsia" w:cs="Times New Roman"/>
                <w:b/>
                <w:bCs/>
                <w:sz w:val="24"/>
                <w:szCs w:val="24"/>
                <w:lang w:val="en-US" w:eastAsia="zh-CN"/>
              </w:rPr>
              <w:t>4-13</w:t>
            </w:r>
            <w:r>
              <w:rPr>
                <w:rFonts w:hint="default" w:ascii="Times New Roman" w:hAnsi="Times New Roman" w:cs="Times New Roman"/>
                <w:b/>
                <w:bCs/>
                <w:sz w:val="24"/>
                <w:szCs w:val="24"/>
                <w:lang w:val="en-US" w:eastAsia="zh-CN"/>
              </w:rPr>
              <w:t xml:space="preserve"> </w:t>
            </w:r>
            <w:r>
              <w:rPr>
                <w:rFonts w:hint="eastAsia" w:cs="Times New Roman"/>
                <w:b/>
                <w:bCs/>
                <w:sz w:val="24"/>
                <w:szCs w:val="24"/>
                <w:lang w:val="en-US" w:eastAsia="zh-CN"/>
              </w:rPr>
              <w:t xml:space="preserve"> </w:t>
            </w:r>
            <w:r>
              <w:rPr>
                <w:rFonts w:hint="default" w:ascii="Times New Roman" w:hAnsi="Times New Roman" w:cs="Times New Roman"/>
                <w:b/>
                <w:bCs/>
                <w:sz w:val="24"/>
                <w:szCs w:val="24"/>
              </w:rPr>
              <w:t>项目环境保护投资估算</w:t>
            </w:r>
            <w:r>
              <w:rPr>
                <w:rFonts w:hint="default" w:ascii="Times New Roman" w:hAnsi="Times New Roman" w:cs="Times New Roman"/>
                <w:b/>
                <w:bCs/>
                <w:sz w:val="24"/>
                <w:szCs w:val="24"/>
                <w:lang w:eastAsia="zh-CN"/>
              </w:rPr>
              <w:t>及“三同时”</w:t>
            </w:r>
            <w:r>
              <w:rPr>
                <w:rFonts w:hint="default" w:ascii="Times New Roman" w:hAnsi="Times New Roman" w:cs="Times New Roman"/>
                <w:b/>
                <w:bCs/>
                <w:sz w:val="24"/>
                <w:szCs w:val="24"/>
              </w:rPr>
              <w:t>一览表</w:t>
            </w:r>
          </w:p>
          <w:tbl>
            <w:tblPr>
              <w:tblStyle w:val="17"/>
              <w:tblW w:w="48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043"/>
              <w:gridCol w:w="2131"/>
              <w:gridCol w:w="1031"/>
              <w:gridCol w:w="2692"/>
              <w:gridCol w:w="1180"/>
            </w:tblGrid>
            <w:tr w14:paraId="0A7A93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tcBorders>
                    <w:top w:val="single" w:color="auto" w:sz="12" w:space="0"/>
                    <w:bottom w:val="single" w:color="auto" w:sz="12" w:space="0"/>
                  </w:tcBorders>
                  <w:noWrap w:val="0"/>
                  <w:vAlign w:val="center"/>
                </w:tcPr>
                <w:p w14:paraId="5D7A29C1">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环保项目</w:t>
                  </w:r>
                </w:p>
              </w:tc>
              <w:tc>
                <w:tcPr>
                  <w:tcW w:w="579" w:type="pct"/>
                  <w:tcBorders>
                    <w:top w:val="single" w:color="auto" w:sz="12" w:space="0"/>
                    <w:bottom w:val="single" w:color="auto" w:sz="12" w:space="0"/>
                  </w:tcBorders>
                  <w:noWrap w:val="0"/>
                  <w:vAlign w:val="center"/>
                </w:tcPr>
                <w:p w14:paraId="1588C5A1">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污染物</w:t>
                  </w:r>
                </w:p>
              </w:tc>
              <w:tc>
                <w:tcPr>
                  <w:tcW w:w="1183" w:type="pct"/>
                  <w:tcBorders>
                    <w:top w:val="single" w:color="auto" w:sz="12" w:space="0"/>
                    <w:bottom w:val="single" w:color="auto" w:sz="12" w:space="0"/>
                  </w:tcBorders>
                  <w:noWrap w:val="0"/>
                  <w:vAlign w:val="center"/>
                </w:tcPr>
                <w:p w14:paraId="2169B919">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b w:val="0"/>
                      <w:bCs w:val="0"/>
                      <w:color w:val="000000"/>
                      <w:sz w:val="18"/>
                      <w:szCs w:val="18"/>
                      <w:highlight w:val="none"/>
                      <w:lang w:eastAsia="zh-CN"/>
                    </w:rPr>
                    <w:t>防治措施</w:t>
                  </w:r>
                </w:p>
              </w:tc>
              <w:tc>
                <w:tcPr>
                  <w:tcW w:w="572" w:type="pct"/>
                  <w:tcBorders>
                    <w:top w:val="single" w:color="auto" w:sz="12" w:space="0"/>
                    <w:bottom w:val="single" w:color="auto" w:sz="12" w:space="0"/>
                  </w:tcBorders>
                  <w:noWrap w:val="0"/>
                  <w:vAlign w:val="center"/>
                </w:tcPr>
                <w:p w14:paraId="7C13F67F">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 w:val="0"/>
                      <w:bCs w:val="0"/>
                      <w:color w:val="000000"/>
                      <w:sz w:val="18"/>
                      <w:szCs w:val="18"/>
                      <w:highlight w:val="none"/>
                    </w:rPr>
                  </w:pPr>
                  <w:r>
                    <w:rPr>
                      <w:rFonts w:hint="default" w:ascii="Times New Roman" w:hAnsi="Times New Roman" w:eastAsia="宋体" w:cs="Times New Roman"/>
                      <w:b w:val="0"/>
                      <w:bCs w:val="0"/>
                      <w:sz w:val="18"/>
                      <w:szCs w:val="18"/>
                      <w:vertAlign w:val="baseline"/>
                      <w:lang w:val="en-US" w:eastAsia="zh-CN"/>
                    </w:rPr>
                    <w:t>环评投资（万元）</w:t>
                  </w:r>
                </w:p>
              </w:tc>
              <w:tc>
                <w:tcPr>
                  <w:tcW w:w="1494" w:type="pct"/>
                  <w:tcBorders>
                    <w:top w:val="single" w:color="auto" w:sz="12" w:space="0"/>
                    <w:bottom w:val="single" w:color="auto" w:sz="12" w:space="0"/>
                  </w:tcBorders>
                  <w:noWrap w:val="0"/>
                  <w:vAlign w:val="center"/>
                </w:tcPr>
                <w:p w14:paraId="542EDE4F">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 w:val="0"/>
                      <w:bCs w:val="0"/>
                      <w:sz w:val="18"/>
                      <w:szCs w:val="18"/>
                      <w:vertAlign w:val="baseline"/>
                      <w:lang w:val="en-US" w:eastAsia="zh-CN"/>
                    </w:rPr>
                  </w:pPr>
                  <w:r>
                    <w:rPr>
                      <w:rFonts w:hint="default" w:ascii="Times New Roman" w:hAnsi="Times New Roman" w:eastAsia="宋体" w:cs="Times New Roman"/>
                      <w:b w:val="0"/>
                      <w:bCs w:val="0"/>
                      <w:sz w:val="18"/>
                      <w:szCs w:val="18"/>
                      <w:vertAlign w:val="baseline"/>
                      <w:lang w:val="en-US" w:eastAsia="zh-CN"/>
                    </w:rPr>
                    <w:t>实际治理措施</w:t>
                  </w:r>
                </w:p>
              </w:tc>
              <w:tc>
                <w:tcPr>
                  <w:tcW w:w="655" w:type="pct"/>
                  <w:tcBorders>
                    <w:top w:val="single" w:color="auto" w:sz="12" w:space="0"/>
                    <w:bottom w:val="single" w:color="auto" w:sz="12" w:space="0"/>
                  </w:tcBorders>
                  <w:noWrap w:val="0"/>
                  <w:vAlign w:val="center"/>
                </w:tcPr>
                <w:p w14:paraId="13774CCC">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 w:val="0"/>
                      <w:bCs w:val="0"/>
                      <w:color w:val="000000"/>
                      <w:sz w:val="18"/>
                      <w:szCs w:val="18"/>
                      <w:highlight w:val="none"/>
                    </w:rPr>
                  </w:pPr>
                  <w:r>
                    <w:rPr>
                      <w:rFonts w:hint="default" w:ascii="Times New Roman" w:hAnsi="Times New Roman" w:eastAsia="宋体" w:cs="Times New Roman"/>
                      <w:b w:val="0"/>
                      <w:bCs w:val="0"/>
                      <w:sz w:val="18"/>
                      <w:szCs w:val="18"/>
                      <w:vertAlign w:val="baseline"/>
                      <w:lang w:val="en-US" w:eastAsia="zh-CN"/>
                    </w:rPr>
                    <w:t>实际投资（万元）</w:t>
                  </w:r>
                </w:p>
              </w:tc>
            </w:tr>
            <w:tr w14:paraId="288812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restart"/>
                  <w:tcBorders>
                    <w:top w:val="single" w:color="auto" w:sz="12" w:space="0"/>
                    <w:bottom w:val="single" w:color="auto" w:sz="4" w:space="0"/>
                  </w:tcBorders>
                  <w:noWrap w:val="0"/>
                  <w:vAlign w:val="center"/>
                </w:tcPr>
                <w:p w14:paraId="0BD7B59E">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大气污染防治</w:t>
                  </w:r>
                </w:p>
              </w:tc>
              <w:tc>
                <w:tcPr>
                  <w:tcW w:w="579" w:type="pct"/>
                  <w:tcBorders>
                    <w:top w:val="single" w:color="auto" w:sz="12" w:space="0"/>
                    <w:bottom w:val="single" w:color="auto" w:sz="4" w:space="0"/>
                  </w:tcBorders>
                  <w:noWrap w:val="0"/>
                  <w:vAlign w:val="center"/>
                </w:tcPr>
                <w:p w14:paraId="30F975E1">
                  <w:pPr>
                    <w:keepNext w:val="0"/>
                    <w:keepLines w:val="0"/>
                    <w:pageBreakBefore w:val="0"/>
                    <w:widowControl w:val="0"/>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kern w:val="0"/>
                      <w:sz w:val="18"/>
                      <w:szCs w:val="18"/>
                      <w:highlight w:val="none"/>
                      <w:lang w:val="en-US" w:eastAsia="zh-CN" w:bidi="ar"/>
                    </w:rPr>
                    <w:t>切割分离粉尘</w:t>
                  </w:r>
                </w:p>
              </w:tc>
              <w:tc>
                <w:tcPr>
                  <w:tcW w:w="1183" w:type="pct"/>
                  <w:vMerge w:val="restart"/>
                  <w:tcBorders>
                    <w:top w:val="single" w:color="auto" w:sz="12" w:space="0"/>
                    <w:bottom w:val="single" w:color="auto" w:sz="4" w:space="0"/>
                  </w:tcBorders>
                  <w:noWrap w:val="0"/>
                  <w:vAlign w:val="center"/>
                </w:tcPr>
                <w:p w14:paraId="3CF7F697">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采取湿式除尘、开采时喷雾抑尘、定期洒水、路面硬化，控制车速和载重</w:t>
                  </w:r>
                </w:p>
              </w:tc>
              <w:tc>
                <w:tcPr>
                  <w:tcW w:w="572" w:type="pct"/>
                  <w:vMerge w:val="restart"/>
                  <w:tcBorders>
                    <w:top w:val="single" w:color="auto" w:sz="12" w:space="0"/>
                    <w:bottom w:val="single" w:color="auto" w:sz="4" w:space="0"/>
                  </w:tcBorders>
                  <w:noWrap w:val="0"/>
                  <w:vAlign w:val="center"/>
                </w:tcPr>
                <w:p w14:paraId="01556B29">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12</w:t>
                  </w:r>
                </w:p>
              </w:tc>
              <w:tc>
                <w:tcPr>
                  <w:tcW w:w="1494" w:type="pct"/>
                  <w:vMerge w:val="restart"/>
                  <w:tcBorders>
                    <w:top w:val="single" w:color="auto" w:sz="12" w:space="0"/>
                    <w:bottom w:val="single" w:color="auto" w:sz="4" w:space="0"/>
                  </w:tcBorders>
                  <w:noWrap w:val="0"/>
                  <w:vAlign w:val="center"/>
                </w:tcPr>
                <w:p w14:paraId="3C57A419">
                  <w:pPr>
                    <w:pStyle w:val="34"/>
                    <w:keepNext w:val="0"/>
                    <w:keepLines w:val="0"/>
                    <w:pageBreakBefore w:val="0"/>
                    <w:widowControl w:val="0"/>
                    <w:kinsoku/>
                    <w:wordWrap/>
                    <w:overflowPunct/>
                    <w:topLinePunct w:val="0"/>
                    <w:autoSpaceDE/>
                    <w:autoSpaceDN/>
                    <w:bidi w:val="0"/>
                    <w:snapToGrid w:val="0"/>
                    <w:spacing w:line="240" w:lineRule="auto"/>
                    <w:ind w:left="0" w:leftChars="0" w:firstLine="0" w:firstLineChars="0"/>
                    <w:contextualSpacing/>
                    <w:jc w:val="center"/>
                    <w:textAlignment w:val="auto"/>
                    <w:rPr>
                      <w:rFonts w:hint="eastAsia"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eastAsia="zh-CN"/>
                    </w:rPr>
                    <w:t>采取湿式除尘、开采时喷雾抑尘、定期洒水、路面硬化，控制车速和载重</w:t>
                  </w:r>
                </w:p>
              </w:tc>
              <w:tc>
                <w:tcPr>
                  <w:tcW w:w="655" w:type="pct"/>
                  <w:vMerge w:val="restart"/>
                  <w:tcBorders>
                    <w:top w:val="single" w:color="auto" w:sz="12" w:space="0"/>
                    <w:bottom w:val="single" w:color="auto" w:sz="4" w:space="0"/>
                  </w:tcBorders>
                  <w:noWrap w:val="0"/>
                  <w:vAlign w:val="center"/>
                </w:tcPr>
                <w:p w14:paraId="66A1623A">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10</w:t>
                  </w:r>
                </w:p>
              </w:tc>
            </w:tr>
            <w:tr w14:paraId="007C49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continue"/>
                  <w:tcBorders>
                    <w:top w:val="single" w:color="auto" w:sz="4" w:space="0"/>
                    <w:bottom w:val="single" w:color="auto" w:sz="4" w:space="0"/>
                  </w:tcBorders>
                  <w:noWrap w:val="0"/>
                  <w:vAlign w:val="center"/>
                </w:tcPr>
                <w:p w14:paraId="5ACD726E">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579" w:type="pct"/>
                  <w:tcBorders>
                    <w:top w:val="single" w:color="auto" w:sz="4" w:space="0"/>
                    <w:bottom w:val="single" w:color="auto" w:sz="4" w:space="0"/>
                  </w:tcBorders>
                  <w:noWrap w:val="0"/>
                  <w:vAlign w:val="center"/>
                </w:tcPr>
                <w:p w14:paraId="5293E131">
                  <w:pPr>
                    <w:keepNext w:val="0"/>
                    <w:keepLines w:val="0"/>
                    <w:pageBreakBefore w:val="0"/>
                    <w:widowControl w:val="0"/>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kern w:val="0"/>
                      <w:sz w:val="18"/>
                      <w:szCs w:val="18"/>
                      <w:highlight w:val="none"/>
                      <w:lang w:val="en-US" w:eastAsia="zh-CN" w:bidi="ar"/>
                    </w:rPr>
                  </w:pPr>
                  <w:r>
                    <w:rPr>
                      <w:rFonts w:hint="eastAsia" w:cs="Times New Roman"/>
                      <w:color w:val="000000"/>
                      <w:kern w:val="0"/>
                      <w:sz w:val="18"/>
                      <w:szCs w:val="18"/>
                      <w:highlight w:val="none"/>
                      <w:lang w:val="en-US" w:eastAsia="zh-CN" w:bidi="ar"/>
                    </w:rPr>
                    <w:t>装卸扬尘</w:t>
                  </w:r>
                </w:p>
              </w:tc>
              <w:tc>
                <w:tcPr>
                  <w:tcW w:w="1183" w:type="pct"/>
                  <w:vMerge w:val="continue"/>
                  <w:tcBorders>
                    <w:top w:val="single" w:color="auto" w:sz="4" w:space="0"/>
                    <w:bottom w:val="single" w:color="auto" w:sz="4" w:space="0"/>
                  </w:tcBorders>
                  <w:noWrap w:val="0"/>
                  <w:vAlign w:val="center"/>
                </w:tcPr>
                <w:p w14:paraId="710D1B50">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p>
              </w:tc>
              <w:tc>
                <w:tcPr>
                  <w:tcW w:w="572" w:type="pct"/>
                  <w:vMerge w:val="continue"/>
                  <w:tcBorders>
                    <w:top w:val="single" w:color="auto" w:sz="4" w:space="0"/>
                    <w:bottom w:val="single" w:color="auto" w:sz="4" w:space="0"/>
                  </w:tcBorders>
                  <w:noWrap w:val="0"/>
                  <w:vAlign w:val="center"/>
                </w:tcPr>
                <w:p w14:paraId="2DB80A2D">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eastAsia" w:ascii="Times New Roman" w:hAnsi="Times New Roman" w:eastAsia="宋体" w:cs="Times New Roman"/>
                      <w:color w:val="000000"/>
                      <w:sz w:val="18"/>
                      <w:szCs w:val="18"/>
                      <w:highlight w:val="none"/>
                      <w:lang w:val="en-US" w:eastAsia="zh-CN"/>
                    </w:rPr>
                  </w:pPr>
                </w:p>
              </w:tc>
              <w:tc>
                <w:tcPr>
                  <w:tcW w:w="1494" w:type="pct"/>
                  <w:vMerge w:val="continue"/>
                  <w:tcBorders>
                    <w:top w:val="single" w:color="auto" w:sz="4" w:space="0"/>
                    <w:bottom w:val="single" w:color="auto" w:sz="4" w:space="0"/>
                  </w:tcBorders>
                  <w:noWrap w:val="0"/>
                  <w:vAlign w:val="center"/>
                </w:tcPr>
                <w:p w14:paraId="3DB9315F">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eastAsia" w:ascii="Times New Roman" w:hAnsi="Times New Roman" w:eastAsia="宋体" w:cs="Times New Roman"/>
                      <w:color w:val="000000"/>
                      <w:sz w:val="18"/>
                      <w:szCs w:val="18"/>
                      <w:highlight w:val="none"/>
                      <w:lang w:val="en-US" w:eastAsia="zh-CN"/>
                    </w:rPr>
                  </w:pPr>
                </w:p>
              </w:tc>
              <w:tc>
                <w:tcPr>
                  <w:tcW w:w="655" w:type="pct"/>
                  <w:vMerge w:val="continue"/>
                  <w:tcBorders>
                    <w:top w:val="single" w:color="auto" w:sz="4" w:space="0"/>
                    <w:bottom w:val="single" w:color="auto" w:sz="4" w:space="0"/>
                  </w:tcBorders>
                  <w:noWrap w:val="0"/>
                  <w:vAlign w:val="center"/>
                </w:tcPr>
                <w:p w14:paraId="7398B21A">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r>
            <w:tr w14:paraId="2672B4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continue"/>
                  <w:tcBorders>
                    <w:top w:val="single" w:color="auto" w:sz="4" w:space="0"/>
                    <w:bottom w:val="single" w:color="auto" w:sz="4" w:space="0"/>
                  </w:tcBorders>
                  <w:noWrap w:val="0"/>
                  <w:vAlign w:val="center"/>
                </w:tcPr>
                <w:p w14:paraId="360CFAB9">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579" w:type="pct"/>
                  <w:tcBorders>
                    <w:top w:val="single" w:color="auto" w:sz="4" w:space="0"/>
                    <w:bottom w:val="single" w:color="auto" w:sz="4" w:space="0"/>
                  </w:tcBorders>
                  <w:noWrap w:val="0"/>
                  <w:vAlign w:val="center"/>
                </w:tcPr>
                <w:p w14:paraId="484AB9F2">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运输扬尘</w:t>
                  </w:r>
                </w:p>
              </w:tc>
              <w:tc>
                <w:tcPr>
                  <w:tcW w:w="1183" w:type="pct"/>
                  <w:vMerge w:val="continue"/>
                  <w:tcBorders>
                    <w:top w:val="single" w:color="auto" w:sz="4" w:space="0"/>
                    <w:bottom w:val="single" w:color="auto" w:sz="4" w:space="0"/>
                  </w:tcBorders>
                  <w:noWrap w:val="0"/>
                  <w:vAlign w:val="center"/>
                </w:tcPr>
                <w:p w14:paraId="564D165B">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572" w:type="pct"/>
                  <w:vMerge w:val="continue"/>
                  <w:tcBorders>
                    <w:top w:val="single" w:color="auto" w:sz="4" w:space="0"/>
                    <w:bottom w:val="single" w:color="auto" w:sz="4" w:space="0"/>
                  </w:tcBorders>
                  <w:noWrap w:val="0"/>
                  <w:vAlign w:val="center"/>
                </w:tcPr>
                <w:p w14:paraId="6CF8FED1">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1494" w:type="pct"/>
                  <w:vMerge w:val="continue"/>
                  <w:tcBorders>
                    <w:top w:val="single" w:color="auto" w:sz="4" w:space="0"/>
                    <w:bottom w:val="single" w:color="auto" w:sz="4" w:space="0"/>
                  </w:tcBorders>
                  <w:noWrap w:val="0"/>
                  <w:vAlign w:val="center"/>
                </w:tcPr>
                <w:p w14:paraId="6529DB1C">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655" w:type="pct"/>
                  <w:vMerge w:val="continue"/>
                  <w:tcBorders>
                    <w:top w:val="single" w:color="auto" w:sz="4" w:space="0"/>
                    <w:bottom w:val="single" w:color="auto" w:sz="4" w:space="0"/>
                  </w:tcBorders>
                  <w:noWrap w:val="0"/>
                  <w:vAlign w:val="center"/>
                </w:tcPr>
                <w:p w14:paraId="6F0791C6">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r>
            <w:tr w14:paraId="202936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tcBorders>
                    <w:top w:val="single" w:color="auto" w:sz="4" w:space="0"/>
                    <w:bottom w:val="single" w:color="auto" w:sz="4" w:space="0"/>
                  </w:tcBorders>
                  <w:noWrap w:val="0"/>
                  <w:vAlign w:val="center"/>
                </w:tcPr>
                <w:p w14:paraId="775D69E9">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噪声污染防治</w:t>
                  </w:r>
                </w:p>
              </w:tc>
              <w:tc>
                <w:tcPr>
                  <w:tcW w:w="579" w:type="pct"/>
                  <w:tcBorders>
                    <w:top w:val="single" w:color="auto" w:sz="4" w:space="0"/>
                    <w:bottom w:val="single" w:color="auto" w:sz="4" w:space="0"/>
                  </w:tcBorders>
                  <w:noWrap w:val="0"/>
                  <w:vAlign w:val="center"/>
                </w:tcPr>
                <w:p w14:paraId="5F266538">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机械噪声，车辆噪声</w:t>
                  </w:r>
                </w:p>
              </w:tc>
              <w:tc>
                <w:tcPr>
                  <w:tcW w:w="1183" w:type="pct"/>
                  <w:tcBorders>
                    <w:top w:val="single" w:color="auto" w:sz="4" w:space="0"/>
                    <w:bottom w:val="single" w:color="auto" w:sz="4" w:space="0"/>
                  </w:tcBorders>
                  <w:noWrap w:val="0"/>
                  <w:vAlign w:val="center"/>
                </w:tcPr>
                <w:p w14:paraId="5C6BE26F">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基础减震、绿化隔声等措施；配低音喇叭，合理安排工作时间</w:t>
                  </w:r>
                </w:p>
              </w:tc>
              <w:tc>
                <w:tcPr>
                  <w:tcW w:w="572" w:type="pct"/>
                  <w:tcBorders>
                    <w:top w:val="single" w:color="auto" w:sz="4" w:space="0"/>
                    <w:bottom w:val="single" w:color="auto" w:sz="4" w:space="0"/>
                  </w:tcBorders>
                  <w:noWrap w:val="0"/>
                  <w:vAlign w:val="center"/>
                </w:tcPr>
                <w:p w14:paraId="33549CCA">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5</w:t>
                  </w:r>
                </w:p>
              </w:tc>
              <w:tc>
                <w:tcPr>
                  <w:tcW w:w="1494" w:type="pct"/>
                  <w:tcBorders>
                    <w:top w:val="single" w:color="auto" w:sz="4" w:space="0"/>
                    <w:bottom w:val="single" w:color="auto" w:sz="4" w:space="0"/>
                  </w:tcBorders>
                  <w:noWrap w:val="0"/>
                  <w:vAlign w:val="center"/>
                </w:tcPr>
                <w:p w14:paraId="2AD8BE9E">
                  <w:pPr>
                    <w:pStyle w:val="34"/>
                    <w:keepNext w:val="0"/>
                    <w:keepLines w:val="0"/>
                    <w:pageBreakBefore w:val="0"/>
                    <w:widowControl w:val="0"/>
                    <w:kinsoku/>
                    <w:wordWrap/>
                    <w:overflowPunct/>
                    <w:topLinePunct w:val="0"/>
                    <w:autoSpaceDE/>
                    <w:autoSpaceDN/>
                    <w:bidi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eastAsia="zh-CN"/>
                    </w:rPr>
                    <w:t>基础减震、绿化隔声等措施；配低音喇叭，合理安排工作时间</w:t>
                  </w:r>
                </w:p>
              </w:tc>
              <w:tc>
                <w:tcPr>
                  <w:tcW w:w="655" w:type="pct"/>
                  <w:tcBorders>
                    <w:top w:val="single" w:color="auto" w:sz="4" w:space="0"/>
                    <w:bottom w:val="single" w:color="auto" w:sz="4" w:space="0"/>
                  </w:tcBorders>
                  <w:noWrap w:val="0"/>
                  <w:vAlign w:val="center"/>
                </w:tcPr>
                <w:p w14:paraId="2C2B827B">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eastAsia"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3</w:t>
                  </w:r>
                </w:p>
              </w:tc>
            </w:tr>
            <w:tr w14:paraId="7962A3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restart"/>
                  <w:tcBorders>
                    <w:top w:val="single" w:color="auto" w:sz="4" w:space="0"/>
                    <w:bottom w:val="single" w:color="auto" w:sz="4" w:space="0"/>
                  </w:tcBorders>
                  <w:noWrap w:val="0"/>
                  <w:vAlign w:val="center"/>
                </w:tcPr>
                <w:p w14:paraId="1AE08E39">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水污染防治措施</w:t>
                  </w:r>
                </w:p>
              </w:tc>
              <w:tc>
                <w:tcPr>
                  <w:tcW w:w="579" w:type="pct"/>
                  <w:tcBorders>
                    <w:top w:val="single" w:color="auto" w:sz="4" w:space="0"/>
                    <w:bottom w:val="single" w:color="auto" w:sz="4" w:space="0"/>
                  </w:tcBorders>
                  <w:noWrap w:val="0"/>
                  <w:vAlign w:val="center"/>
                </w:tcPr>
                <w:p w14:paraId="3AD0764A">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生产废水</w:t>
                  </w:r>
                </w:p>
              </w:tc>
              <w:tc>
                <w:tcPr>
                  <w:tcW w:w="1183" w:type="pct"/>
                  <w:vMerge w:val="restart"/>
                  <w:tcBorders>
                    <w:top w:val="single" w:color="auto" w:sz="4" w:space="0"/>
                    <w:bottom w:val="single" w:color="auto" w:sz="4" w:space="0"/>
                  </w:tcBorders>
                  <w:noWrap w:val="0"/>
                  <w:vAlign w:val="center"/>
                </w:tcPr>
                <w:p w14:paraId="157F2884">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修建截排水沟，经过沉淀池、雨水收集池、污水处理设备处理后回用</w:t>
                  </w:r>
                </w:p>
              </w:tc>
              <w:tc>
                <w:tcPr>
                  <w:tcW w:w="572" w:type="pct"/>
                  <w:vMerge w:val="restart"/>
                  <w:tcBorders>
                    <w:top w:val="single" w:color="auto" w:sz="4" w:space="0"/>
                    <w:bottom w:val="single" w:color="auto" w:sz="4" w:space="0"/>
                  </w:tcBorders>
                  <w:noWrap w:val="0"/>
                  <w:vAlign w:val="center"/>
                </w:tcPr>
                <w:p w14:paraId="64032380">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750</w:t>
                  </w:r>
                </w:p>
              </w:tc>
              <w:tc>
                <w:tcPr>
                  <w:tcW w:w="1494" w:type="pct"/>
                  <w:vMerge w:val="restart"/>
                  <w:tcBorders>
                    <w:top w:val="single" w:color="auto" w:sz="4" w:space="0"/>
                    <w:bottom w:val="single" w:color="auto" w:sz="4" w:space="0"/>
                  </w:tcBorders>
                  <w:noWrap w:val="0"/>
                  <w:vAlign w:val="center"/>
                </w:tcPr>
                <w:p w14:paraId="513E6019">
                  <w:pPr>
                    <w:pStyle w:val="34"/>
                    <w:keepNext w:val="0"/>
                    <w:keepLines w:val="0"/>
                    <w:pageBreakBefore w:val="0"/>
                    <w:widowControl w:val="0"/>
                    <w:kinsoku/>
                    <w:wordWrap/>
                    <w:overflowPunct/>
                    <w:topLinePunct w:val="0"/>
                    <w:autoSpaceDE/>
                    <w:autoSpaceDN/>
                    <w:bidi w:val="0"/>
                    <w:snapToGrid w:val="0"/>
                    <w:spacing w:line="240" w:lineRule="auto"/>
                    <w:ind w:left="0" w:leftChars="0" w:firstLine="0" w:firstLineChars="0"/>
                    <w:contextualSpacing/>
                    <w:jc w:val="center"/>
                    <w:textAlignment w:val="auto"/>
                    <w:rPr>
                      <w:rFonts w:hint="eastAsia"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eastAsia="zh-CN"/>
                    </w:rPr>
                    <w:t>修建截排水沟，经过沉淀池、雨水收集池、污水处理设备处理后回用</w:t>
                  </w:r>
                </w:p>
              </w:tc>
              <w:tc>
                <w:tcPr>
                  <w:tcW w:w="655" w:type="pct"/>
                  <w:vMerge w:val="restart"/>
                  <w:tcBorders>
                    <w:top w:val="single" w:color="auto" w:sz="4" w:space="0"/>
                    <w:bottom w:val="single" w:color="auto" w:sz="4" w:space="0"/>
                  </w:tcBorders>
                  <w:noWrap w:val="0"/>
                  <w:vAlign w:val="center"/>
                </w:tcPr>
                <w:p w14:paraId="77586C11">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750</w:t>
                  </w:r>
                </w:p>
              </w:tc>
            </w:tr>
            <w:tr w14:paraId="3B1C99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continue"/>
                  <w:tcBorders>
                    <w:top w:val="single" w:color="auto" w:sz="4" w:space="0"/>
                    <w:bottom w:val="single" w:color="auto" w:sz="4" w:space="0"/>
                  </w:tcBorders>
                  <w:noWrap w:val="0"/>
                  <w:vAlign w:val="center"/>
                </w:tcPr>
                <w:p w14:paraId="7D3E34BE">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579" w:type="pct"/>
                  <w:tcBorders>
                    <w:top w:val="single" w:color="auto" w:sz="4" w:space="0"/>
                    <w:bottom w:val="single" w:color="auto" w:sz="4" w:space="0"/>
                  </w:tcBorders>
                  <w:noWrap w:val="0"/>
                  <w:vAlign w:val="center"/>
                </w:tcPr>
                <w:p w14:paraId="5DE585F3">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雨水</w:t>
                  </w:r>
                </w:p>
              </w:tc>
              <w:tc>
                <w:tcPr>
                  <w:tcW w:w="1183" w:type="pct"/>
                  <w:vMerge w:val="continue"/>
                  <w:tcBorders>
                    <w:top w:val="single" w:color="auto" w:sz="4" w:space="0"/>
                    <w:bottom w:val="single" w:color="auto" w:sz="4" w:space="0"/>
                  </w:tcBorders>
                  <w:noWrap w:val="0"/>
                  <w:vAlign w:val="center"/>
                </w:tcPr>
                <w:p w14:paraId="2E088C18">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572" w:type="pct"/>
                  <w:vMerge w:val="continue"/>
                  <w:tcBorders>
                    <w:top w:val="single" w:color="auto" w:sz="4" w:space="0"/>
                    <w:bottom w:val="single" w:color="auto" w:sz="4" w:space="0"/>
                  </w:tcBorders>
                  <w:noWrap w:val="0"/>
                  <w:vAlign w:val="center"/>
                </w:tcPr>
                <w:p w14:paraId="297BC86F">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p>
              </w:tc>
              <w:tc>
                <w:tcPr>
                  <w:tcW w:w="1494" w:type="pct"/>
                  <w:vMerge w:val="continue"/>
                  <w:tcBorders>
                    <w:top w:val="single" w:color="auto" w:sz="4" w:space="0"/>
                    <w:bottom w:val="single" w:color="auto" w:sz="4" w:space="0"/>
                  </w:tcBorders>
                  <w:noWrap w:val="0"/>
                  <w:vAlign w:val="center"/>
                </w:tcPr>
                <w:p w14:paraId="3400917E">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p>
              </w:tc>
              <w:tc>
                <w:tcPr>
                  <w:tcW w:w="655" w:type="pct"/>
                  <w:vMerge w:val="continue"/>
                  <w:tcBorders>
                    <w:top w:val="single" w:color="auto" w:sz="4" w:space="0"/>
                    <w:bottom w:val="single" w:color="auto" w:sz="4" w:space="0"/>
                  </w:tcBorders>
                  <w:noWrap w:val="0"/>
                  <w:vAlign w:val="center"/>
                </w:tcPr>
                <w:p w14:paraId="71EC812A">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r>
            <w:tr w14:paraId="5E5AAD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continue"/>
                  <w:tcBorders>
                    <w:top w:val="single" w:color="auto" w:sz="4" w:space="0"/>
                    <w:bottom w:val="single" w:color="auto" w:sz="4" w:space="0"/>
                  </w:tcBorders>
                  <w:noWrap w:val="0"/>
                  <w:vAlign w:val="center"/>
                </w:tcPr>
                <w:p w14:paraId="5289001E">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579" w:type="pct"/>
                  <w:tcBorders>
                    <w:top w:val="single" w:color="auto" w:sz="4" w:space="0"/>
                    <w:bottom w:val="single" w:color="auto" w:sz="4" w:space="0"/>
                  </w:tcBorders>
                  <w:noWrap w:val="0"/>
                  <w:vAlign w:val="center"/>
                </w:tcPr>
                <w:p w14:paraId="5B22DB80">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生活污水</w:t>
                  </w:r>
                </w:p>
              </w:tc>
              <w:tc>
                <w:tcPr>
                  <w:tcW w:w="1183" w:type="pct"/>
                  <w:tcBorders>
                    <w:top w:val="single" w:color="auto" w:sz="4" w:space="0"/>
                    <w:bottom w:val="single" w:color="auto" w:sz="4" w:space="0"/>
                  </w:tcBorders>
                  <w:noWrap w:val="0"/>
                  <w:vAlign w:val="center"/>
                </w:tcPr>
                <w:p w14:paraId="3BFC7720">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eastAsia="zh-CN"/>
                    </w:rPr>
                    <w:t>经</w:t>
                  </w:r>
                  <w:r>
                    <w:rPr>
                      <w:rFonts w:hint="eastAsia" w:ascii="Times New Roman" w:hAnsi="Times New Roman" w:eastAsia="宋体" w:cs="Times New Roman"/>
                      <w:color w:val="000000"/>
                      <w:sz w:val="18"/>
                      <w:szCs w:val="18"/>
                      <w:highlight w:val="none"/>
                      <w:lang w:val="en-US" w:eastAsia="zh-CN"/>
                    </w:rPr>
                    <w:t>一体化生活污水处理设施处理后回用于生产和抑尘</w:t>
                  </w:r>
                </w:p>
              </w:tc>
              <w:tc>
                <w:tcPr>
                  <w:tcW w:w="572" w:type="pct"/>
                  <w:vMerge w:val="continue"/>
                  <w:tcBorders>
                    <w:top w:val="single" w:color="auto" w:sz="4" w:space="0"/>
                    <w:bottom w:val="single" w:color="auto" w:sz="4" w:space="0"/>
                  </w:tcBorders>
                  <w:noWrap w:val="0"/>
                  <w:vAlign w:val="center"/>
                </w:tcPr>
                <w:p w14:paraId="39DD8CFE">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val="en-US" w:eastAsia="zh-CN"/>
                    </w:rPr>
                  </w:pPr>
                </w:p>
              </w:tc>
              <w:tc>
                <w:tcPr>
                  <w:tcW w:w="1494" w:type="pct"/>
                  <w:tcBorders>
                    <w:top w:val="single" w:color="auto" w:sz="4" w:space="0"/>
                    <w:bottom w:val="single" w:color="auto" w:sz="4" w:space="0"/>
                  </w:tcBorders>
                  <w:noWrap w:val="0"/>
                  <w:vAlign w:val="center"/>
                </w:tcPr>
                <w:p w14:paraId="21A6C97B">
                  <w:pPr>
                    <w:pStyle w:val="34"/>
                    <w:keepNext w:val="0"/>
                    <w:keepLines w:val="0"/>
                    <w:pageBreakBefore w:val="0"/>
                    <w:widowControl w:val="0"/>
                    <w:kinsoku/>
                    <w:wordWrap/>
                    <w:overflowPunct/>
                    <w:topLinePunct w:val="0"/>
                    <w:autoSpaceDE/>
                    <w:autoSpaceDN/>
                    <w:bidi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eastAsia="zh-CN"/>
                    </w:rPr>
                    <w:t>经</w:t>
                  </w:r>
                  <w:r>
                    <w:rPr>
                      <w:rFonts w:hint="eastAsia" w:ascii="Times New Roman" w:hAnsi="Times New Roman" w:eastAsia="宋体" w:cs="Times New Roman"/>
                      <w:color w:val="000000"/>
                      <w:sz w:val="18"/>
                      <w:szCs w:val="18"/>
                      <w:highlight w:val="none"/>
                      <w:lang w:val="en-US" w:eastAsia="zh-CN"/>
                    </w:rPr>
                    <w:t>一体化生活污水处理设施处理后回用于生产和抑尘</w:t>
                  </w:r>
                </w:p>
              </w:tc>
              <w:tc>
                <w:tcPr>
                  <w:tcW w:w="655" w:type="pct"/>
                  <w:vMerge w:val="continue"/>
                  <w:tcBorders>
                    <w:top w:val="single" w:color="auto" w:sz="4" w:space="0"/>
                    <w:bottom w:val="single" w:color="auto" w:sz="4" w:space="0"/>
                  </w:tcBorders>
                  <w:noWrap w:val="0"/>
                  <w:vAlign w:val="center"/>
                </w:tcPr>
                <w:p w14:paraId="6D5DAF86">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r>
            <w:tr w14:paraId="1599A8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restart"/>
                  <w:tcBorders>
                    <w:top w:val="single" w:color="auto" w:sz="4" w:space="0"/>
                    <w:bottom w:val="single" w:color="auto" w:sz="4" w:space="0"/>
                  </w:tcBorders>
                  <w:noWrap w:val="0"/>
                  <w:vAlign w:val="center"/>
                </w:tcPr>
                <w:p w14:paraId="43F7FAFA">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固体废物防治措施</w:t>
                  </w:r>
                </w:p>
              </w:tc>
              <w:tc>
                <w:tcPr>
                  <w:tcW w:w="579" w:type="pct"/>
                  <w:tcBorders>
                    <w:top w:val="single" w:color="auto" w:sz="4" w:space="0"/>
                    <w:bottom w:val="single" w:color="auto" w:sz="4" w:space="0"/>
                  </w:tcBorders>
                  <w:noWrap w:val="0"/>
                  <w:vAlign w:val="center"/>
                </w:tcPr>
                <w:p w14:paraId="5F28E8F4">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eastAsia="zh-CN"/>
                    </w:rPr>
                    <w:t>采矿剥离物</w:t>
                  </w:r>
                  <w:r>
                    <w:rPr>
                      <w:rFonts w:hint="default" w:ascii="Times New Roman" w:hAnsi="Times New Roman" w:eastAsia="宋体" w:cs="Times New Roman"/>
                      <w:color w:val="000000"/>
                      <w:sz w:val="18"/>
                      <w:szCs w:val="18"/>
                      <w:highlight w:val="none"/>
                      <w:lang w:val="en-US" w:eastAsia="zh-CN"/>
                    </w:rPr>
                    <w:t>和废料</w:t>
                  </w:r>
                </w:p>
              </w:tc>
              <w:tc>
                <w:tcPr>
                  <w:tcW w:w="1183" w:type="pct"/>
                  <w:tcBorders>
                    <w:top w:val="single" w:color="auto" w:sz="4" w:space="0"/>
                    <w:bottom w:val="single" w:color="auto" w:sz="4" w:space="0"/>
                  </w:tcBorders>
                  <w:noWrap w:val="0"/>
                  <w:vAlign w:val="center"/>
                </w:tcPr>
                <w:p w14:paraId="03852F9D">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rPr>
                    <w:t>由山下碎石加工企业</w:t>
                  </w:r>
                  <w:r>
                    <w:rPr>
                      <w:rFonts w:hint="default" w:ascii="Times New Roman" w:hAnsi="Times New Roman" w:eastAsia="宋体" w:cs="Times New Roman"/>
                      <w:color w:val="000000"/>
                      <w:sz w:val="18"/>
                      <w:szCs w:val="18"/>
                      <w:highlight w:val="none"/>
                      <w:lang w:eastAsia="zh-CN"/>
                    </w:rPr>
                    <w:t>直接</w:t>
                  </w:r>
                  <w:r>
                    <w:rPr>
                      <w:rFonts w:hint="default" w:ascii="Times New Roman" w:hAnsi="Times New Roman" w:eastAsia="宋体" w:cs="Times New Roman"/>
                      <w:color w:val="000000"/>
                      <w:sz w:val="18"/>
                      <w:szCs w:val="18"/>
                      <w:highlight w:val="none"/>
                    </w:rPr>
                    <w:t>运输至建筑石料加工场地</w:t>
                  </w:r>
                </w:p>
              </w:tc>
              <w:tc>
                <w:tcPr>
                  <w:tcW w:w="572" w:type="pct"/>
                  <w:tcBorders>
                    <w:top w:val="single" w:color="auto" w:sz="4" w:space="0"/>
                    <w:bottom w:val="single" w:color="auto" w:sz="4" w:space="0"/>
                  </w:tcBorders>
                  <w:noWrap w:val="0"/>
                  <w:vAlign w:val="center"/>
                </w:tcPr>
                <w:p w14:paraId="70C02153">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4</w:t>
                  </w:r>
                </w:p>
              </w:tc>
              <w:tc>
                <w:tcPr>
                  <w:tcW w:w="1494" w:type="pct"/>
                  <w:tcBorders>
                    <w:top w:val="single" w:color="auto" w:sz="4" w:space="0"/>
                    <w:bottom w:val="single" w:color="auto" w:sz="4" w:space="0"/>
                  </w:tcBorders>
                  <w:noWrap w:val="0"/>
                  <w:vAlign w:val="center"/>
                </w:tcPr>
                <w:p w14:paraId="7F1F86E4">
                  <w:pPr>
                    <w:pStyle w:val="34"/>
                    <w:keepNext w:val="0"/>
                    <w:keepLines w:val="0"/>
                    <w:pageBreakBefore w:val="0"/>
                    <w:widowControl w:val="0"/>
                    <w:kinsoku/>
                    <w:wordWrap/>
                    <w:overflowPunct/>
                    <w:topLinePunct w:val="0"/>
                    <w:autoSpaceDE/>
                    <w:autoSpaceDN/>
                    <w:bidi w:val="0"/>
                    <w:snapToGrid w:val="0"/>
                    <w:spacing w:line="240" w:lineRule="auto"/>
                    <w:ind w:left="0" w:leftChars="0" w:firstLine="0" w:firstLineChars="0"/>
                    <w:contextualSpacing/>
                    <w:jc w:val="center"/>
                    <w:textAlignment w:val="auto"/>
                    <w:rPr>
                      <w:rFonts w:hint="eastAsia"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rPr>
                    <w:t>由山下碎石加工企业</w:t>
                  </w:r>
                  <w:r>
                    <w:rPr>
                      <w:rFonts w:hint="default" w:ascii="Times New Roman" w:hAnsi="Times New Roman" w:eastAsia="宋体" w:cs="Times New Roman"/>
                      <w:color w:val="000000"/>
                      <w:sz w:val="18"/>
                      <w:szCs w:val="18"/>
                      <w:highlight w:val="none"/>
                      <w:lang w:eastAsia="zh-CN"/>
                    </w:rPr>
                    <w:t>直接</w:t>
                  </w:r>
                  <w:r>
                    <w:rPr>
                      <w:rFonts w:hint="default" w:ascii="Times New Roman" w:hAnsi="Times New Roman" w:eastAsia="宋体" w:cs="Times New Roman"/>
                      <w:color w:val="000000"/>
                      <w:sz w:val="18"/>
                      <w:szCs w:val="18"/>
                      <w:highlight w:val="none"/>
                    </w:rPr>
                    <w:t>运输至建筑石料加工场地</w:t>
                  </w:r>
                </w:p>
              </w:tc>
              <w:tc>
                <w:tcPr>
                  <w:tcW w:w="655" w:type="pct"/>
                  <w:tcBorders>
                    <w:top w:val="single" w:color="auto" w:sz="4" w:space="0"/>
                    <w:bottom w:val="single" w:color="auto" w:sz="4" w:space="0"/>
                  </w:tcBorders>
                  <w:noWrap w:val="0"/>
                  <w:vAlign w:val="center"/>
                </w:tcPr>
                <w:p w14:paraId="5E2F45D9">
                  <w:pPr>
                    <w:pStyle w:val="34"/>
                    <w:keepNext w:val="0"/>
                    <w:keepLines w:val="0"/>
                    <w:pageBreakBefore w:val="0"/>
                    <w:widowControl w:val="0"/>
                    <w:kinsoku/>
                    <w:wordWrap/>
                    <w:overflowPunct/>
                    <w:topLinePunct w:val="0"/>
                    <w:autoSpaceDE/>
                    <w:autoSpaceDN/>
                    <w:bidi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sz w:val="18"/>
                      <w:szCs w:val="18"/>
                      <w:highlight w:val="none"/>
                      <w:lang w:eastAsia="zh-CN"/>
                    </w:rPr>
                  </w:pPr>
                  <w:r>
                    <w:rPr>
                      <w:rFonts w:hint="eastAsia" w:ascii="Times New Roman" w:hAnsi="Times New Roman" w:eastAsia="宋体" w:cs="Times New Roman"/>
                      <w:color w:val="000000"/>
                      <w:sz w:val="18"/>
                      <w:szCs w:val="18"/>
                      <w:highlight w:val="none"/>
                      <w:lang w:val="en-US" w:eastAsia="zh-CN"/>
                    </w:rPr>
                    <w:t>4</w:t>
                  </w:r>
                </w:p>
              </w:tc>
            </w:tr>
            <w:tr w14:paraId="7AF202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continue"/>
                  <w:tcBorders>
                    <w:top w:val="single" w:color="auto" w:sz="4" w:space="0"/>
                    <w:bottom w:val="single" w:color="auto" w:sz="4" w:space="0"/>
                  </w:tcBorders>
                  <w:noWrap w:val="0"/>
                  <w:vAlign w:val="center"/>
                </w:tcPr>
                <w:p w14:paraId="42329806">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579" w:type="pct"/>
                  <w:tcBorders>
                    <w:top w:val="single" w:color="auto" w:sz="4" w:space="0"/>
                    <w:bottom w:val="single" w:color="auto" w:sz="4" w:space="0"/>
                  </w:tcBorders>
                  <w:noWrap w:val="0"/>
                  <w:vAlign w:val="center"/>
                </w:tcPr>
                <w:p w14:paraId="761B527C">
                  <w:pPr>
                    <w:pStyle w:val="34"/>
                    <w:keepNext w:val="0"/>
                    <w:keepLines w:val="0"/>
                    <w:pageBreakBefore w:val="0"/>
                    <w:widowControl w:val="0"/>
                    <w:kinsoku/>
                    <w:wordWrap/>
                    <w:overflowPunct/>
                    <w:topLinePunct w:val="0"/>
                    <w:autoSpaceDE/>
                    <w:autoSpaceDN/>
                    <w:bidi w:val="0"/>
                    <w:snapToGrid w:val="0"/>
                    <w:spacing w:line="240" w:lineRule="auto"/>
                    <w:contextualSpacing/>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废机油</w:t>
                  </w:r>
                </w:p>
              </w:tc>
              <w:tc>
                <w:tcPr>
                  <w:tcW w:w="1183" w:type="pct"/>
                  <w:tcBorders>
                    <w:top w:val="single" w:color="auto" w:sz="4" w:space="0"/>
                    <w:bottom w:val="single" w:color="auto" w:sz="4" w:space="0"/>
                  </w:tcBorders>
                  <w:noWrap w:val="0"/>
                  <w:vAlign w:val="center"/>
                </w:tcPr>
                <w:p w14:paraId="2EC3E4EF">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rPr>
                    <w:t>危险废物暂存于危险废物暂存间，定期交由有资质单位进行处置</w:t>
                  </w:r>
                </w:p>
              </w:tc>
              <w:tc>
                <w:tcPr>
                  <w:tcW w:w="572" w:type="pct"/>
                  <w:tcBorders>
                    <w:top w:val="single" w:color="auto" w:sz="4" w:space="0"/>
                    <w:bottom w:val="single" w:color="auto" w:sz="4" w:space="0"/>
                  </w:tcBorders>
                  <w:noWrap w:val="0"/>
                  <w:vAlign w:val="center"/>
                </w:tcPr>
                <w:p w14:paraId="5487F0FC">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val="en-US" w:eastAsia="zh-CN"/>
                    </w:rPr>
                    <w:t>3</w:t>
                  </w:r>
                </w:p>
              </w:tc>
              <w:tc>
                <w:tcPr>
                  <w:tcW w:w="1494" w:type="pct"/>
                  <w:tcBorders>
                    <w:top w:val="single" w:color="auto" w:sz="4" w:space="0"/>
                    <w:bottom w:val="single" w:color="auto" w:sz="4" w:space="0"/>
                  </w:tcBorders>
                  <w:noWrap w:val="0"/>
                  <w:vAlign w:val="center"/>
                </w:tcPr>
                <w:p w14:paraId="1ABEC1B8">
                  <w:pPr>
                    <w:pStyle w:val="34"/>
                    <w:keepNext w:val="0"/>
                    <w:keepLines w:val="0"/>
                    <w:pageBreakBefore w:val="0"/>
                    <w:widowControl w:val="0"/>
                    <w:kinsoku/>
                    <w:wordWrap/>
                    <w:overflowPunct/>
                    <w:topLinePunct w:val="0"/>
                    <w:autoSpaceDE/>
                    <w:autoSpaceDN/>
                    <w:bidi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rPr>
                    <w:t>危险废物暂存于危险废物暂存间，定期交由有资质单位进行处置</w:t>
                  </w:r>
                </w:p>
              </w:tc>
              <w:tc>
                <w:tcPr>
                  <w:tcW w:w="655" w:type="pct"/>
                  <w:tcBorders>
                    <w:top w:val="single" w:color="auto" w:sz="4" w:space="0"/>
                    <w:bottom w:val="single" w:color="auto" w:sz="4" w:space="0"/>
                  </w:tcBorders>
                  <w:noWrap w:val="0"/>
                  <w:vAlign w:val="center"/>
                </w:tcPr>
                <w:p w14:paraId="7728229A">
                  <w:pPr>
                    <w:pStyle w:val="34"/>
                    <w:keepNext w:val="0"/>
                    <w:keepLines w:val="0"/>
                    <w:pageBreakBefore w:val="0"/>
                    <w:widowControl w:val="0"/>
                    <w:kinsoku/>
                    <w:wordWrap/>
                    <w:overflowPunct/>
                    <w:topLinePunct w:val="0"/>
                    <w:autoSpaceDE/>
                    <w:autoSpaceDN/>
                    <w:bidi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val="en-US" w:eastAsia="zh-CN"/>
                    </w:rPr>
                    <w:t>3</w:t>
                  </w:r>
                </w:p>
              </w:tc>
            </w:tr>
            <w:tr w14:paraId="74CBEB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continue"/>
                  <w:tcBorders>
                    <w:top w:val="single" w:color="auto" w:sz="4" w:space="0"/>
                    <w:bottom w:val="single" w:color="auto" w:sz="4" w:space="0"/>
                  </w:tcBorders>
                  <w:noWrap w:val="0"/>
                  <w:vAlign w:val="center"/>
                </w:tcPr>
                <w:p w14:paraId="66BCA1AC">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579" w:type="pct"/>
                  <w:tcBorders>
                    <w:top w:val="single" w:color="auto" w:sz="4" w:space="0"/>
                    <w:bottom w:val="single" w:color="auto" w:sz="4" w:space="0"/>
                  </w:tcBorders>
                  <w:noWrap w:val="0"/>
                  <w:vAlign w:val="center"/>
                </w:tcPr>
                <w:p w14:paraId="172BD34D">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沉淀池污泥</w:t>
                  </w:r>
                </w:p>
              </w:tc>
              <w:tc>
                <w:tcPr>
                  <w:tcW w:w="1183" w:type="pct"/>
                  <w:tcBorders>
                    <w:top w:val="single" w:color="auto" w:sz="4" w:space="0"/>
                    <w:bottom w:val="single" w:color="auto" w:sz="4" w:space="0"/>
                  </w:tcBorders>
                  <w:noWrap w:val="0"/>
                  <w:vAlign w:val="center"/>
                </w:tcPr>
                <w:p w14:paraId="230A90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压滤后作为建筑材料外售</w:t>
                  </w:r>
                </w:p>
              </w:tc>
              <w:tc>
                <w:tcPr>
                  <w:tcW w:w="572" w:type="pct"/>
                  <w:tcBorders>
                    <w:top w:val="single" w:color="auto" w:sz="4" w:space="0"/>
                    <w:bottom w:val="single" w:color="auto" w:sz="4" w:space="0"/>
                  </w:tcBorders>
                  <w:noWrap w:val="0"/>
                  <w:vAlign w:val="center"/>
                </w:tcPr>
                <w:p w14:paraId="692C97E1">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2</w:t>
                  </w:r>
                </w:p>
              </w:tc>
              <w:tc>
                <w:tcPr>
                  <w:tcW w:w="1494" w:type="pct"/>
                  <w:tcBorders>
                    <w:top w:val="single" w:color="auto" w:sz="4" w:space="0"/>
                    <w:bottom w:val="single" w:color="auto" w:sz="4" w:space="0"/>
                  </w:tcBorders>
                  <w:noWrap w:val="0"/>
                  <w:vAlign w:val="center"/>
                </w:tcPr>
                <w:p w14:paraId="1C17FB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eastAsia="zh-CN"/>
                    </w:rPr>
                    <w:t>压滤后作为建筑材料外售</w:t>
                  </w:r>
                </w:p>
              </w:tc>
              <w:tc>
                <w:tcPr>
                  <w:tcW w:w="655" w:type="pct"/>
                  <w:tcBorders>
                    <w:top w:val="single" w:color="auto" w:sz="4" w:space="0"/>
                    <w:bottom w:val="single" w:color="auto" w:sz="4" w:space="0"/>
                  </w:tcBorders>
                  <w:noWrap w:val="0"/>
                  <w:vAlign w:val="center"/>
                </w:tcPr>
                <w:p w14:paraId="60E3AE61">
                  <w:pPr>
                    <w:pStyle w:val="34"/>
                    <w:keepNext w:val="0"/>
                    <w:keepLines w:val="0"/>
                    <w:pageBreakBefore w:val="0"/>
                    <w:widowControl w:val="0"/>
                    <w:kinsoku/>
                    <w:wordWrap/>
                    <w:overflowPunct/>
                    <w:topLinePunct w:val="0"/>
                    <w:autoSpaceDE/>
                    <w:autoSpaceDN/>
                    <w:bidi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val="en-US" w:eastAsia="zh-CN"/>
                    </w:rPr>
                    <w:t>2</w:t>
                  </w:r>
                </w:p>
              </w:tc>
            </w:tr>
            <w:tr w14:paraId="332D2D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continue"/>
                  <w:tcBorders>
                    <w:top w:val="single" w:color="auto" w:sz="4" w:space="0"/>
                    <w:bottom w:val="single" w:color="auto" w:sz="4" w:space="0"/>
                  </w:tcBorders>
                  <w:noWrap w:val="0"/>
                  <w:vAlign w:val="center"/>
                </w:tcPr>
                <w:p w14:paraId="000151EE">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579" w:type="pct"/>
                  <w:tcBorders>
                    <w:top w:val="single" w:color="auto" w:sz="4" w:space="0"/>
                    <w:bottom w:val="single" w:color="auto" w:sz="4" w:space="0"/>
                  </w:tcBorders>
                  <w:noWrap w:val="0"/>
                  <w:vAlign w:val="center"/>
                </w:tcPr>
                <w:p w14:paraId="0593CC03">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废手套、抹布</w:t>
                  </w:r>
                </w:p>
              </w:tc>
              <w:tc>
                <w:tcPr>
                  <w:tcW w:w="1183" w:type="pct"/>
                  <w:tcBorders>
                    <w:top w:val="single" w:color="auto" w:sz="4" w:space="0"/>
                    <w:bottom w:val="single" w:color="auto" w:sz="4" w:space="0"/>
                  </w:tcBorders>
                  <w:noWrap w:val="0"/>
                  <w:vAlign w:val="center"/>
                </w:tcPr>
                <w:p w14:paraId="0323E5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rPr>
                    <w:t>混入生活垃圾处理</w:t>
                  </w:r>
                </w:p>
              </w:tc>
              <w:tc>
                <w:tcPr>
                  <w:tcW w:w="572" w:type="pct"/>
                  <w:vMerge w:val="restart"/>
                  <w:tcBorders>
                    <w:top w:val="single" w:color="auto" w:sz="4" w:space="0"/>
                    <w:bottom w:val="single" w:color="auto" w:sz="4" w:space="0"/>
                  </w:tcBorders>
                  <w:noWrap w:val="0"/>
                  <w:vAlign w:val="center"/>
                </w:tcPr>
                <w:p w14:paraId="1357D75B">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1</w:t>
                  </w:r>
                </w:p>
              </w:tc>
              <w:tc>
                <w:tcPr>
                  <w:tcW w:w="1494" w:type="pct"/>
                  <w:tcBorders>
                    <w:top w:val="single" w:color="auto" w:sz="4" w:space="0"/>
                    <w:bottom w:val="single" w:color="auto" w:sz="4" w:space="0"/>
                  </w:tcBorders>
                  <w:noWrap w:val="0"/>
                  <w:vAlign w:val="center"/>
                </w:tcPr>
                <w:p w14:paraId="64465C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sz w:val="18"/>
                      <w:szCs w:val="18"/>
                      <w:highlight w:val="none"/>
                    </w:rPr>
                    <w:t>危险废物暂存于危险废物暂存间，定期交由有资质单位进行处置</w:t>
                  </w:r>
                </w:p>
              </w:tc>
              <w:tc>
                <w:tcPr>
                  <w:tcW w:w="655" w:type="pct"/>
                  <w:vMerge w:val="restart"/>
                  <w:tcBorders>
                    <w:top w:val="single" w:color="auto" w:sz="4" w:space="0"/>
                    <w:bottom w:val="single" w:color="auto" w:sz="4" w:space="0"/>
                  </w:tcBorders>
                  <w:noWrap w:val="0"/>
                  <w:vAlign w:val="center"/>
                </w:tcPr>
                <w:p w14:paraId="2B6D8B90">
                  <w:pPr>
                    <w:pStyle w:val="34"/>
                    <w:keepNext w:val="0"/>
                    <w:keepLines w:val="0"/>
                    <w:pageBreakBefore w:val="0"/>
                    <w:widowControl w:val="0"/>
                    <w:kinsoku/>
                    <w:wordWrap/>
                    <w:overflowPunct/>
                    <w:topLinePunct w:val="0"/>
                    <w:autoSpaceDE/>
                    <w:autoSpaceDN/>
                    <w:bidi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kern w:val="2"/>
                      <w:sz w:val="18"/>
                      <w:szCs w:val="18"/>
                      <w:highlight w:val="none"/>
                      <w:lang w:val="en-US" w:eastAsia="zh-CN" w:bidi="ar-SA"/>
                    </w:rPr>
                    <w:t>1</w:t>
                  </w:r>
                </w:p>
              </w:tc>
            </w:tr>
            <w:tr w14:paraId="45B614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continue"/>
                  <w:tcBorders>
                    <w:top w:val="single" w:color="auto" w:sz="4" w:space="0"/>
                    <w:bottom w:val="single" w:color="auto" w:sz="4" w:space="0"/>
                  </w:tcBorders>
                  <w:noWrap w:val="0"/>
                  <w:vAlign w:val="center"/>
                </w:tcPr>
                <w:p w14:paraId="70285F77">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579" w:type="pct"/>
                  <w:tcBorders>
                    <w:top w:val="single" w:color="auto" w:sz="4" w:space="0"/>
                    <w:bottom w:val="single" w:color="auto" w:sz="4" w:space="0"/>
                  </w:tcBorders>
                  <w:noWrap w:val="0"/>
                  <w:vAlign w:val="center"/>
                </w:tcPr>
                <w:p w14:paraId="30A1553B">
                  <w:pPr>
                    <w:pStyle w:val="34"/>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生活垃圾</w:t>
                  </w:r>
                </w:p>
              </w:tc>
              <w:tc>
                <w:tcPr>
                  <w:tcW w:w="1183" w:type="pct"/>
                  <w:tcBorders>
                    <w:top w:val="single" w:color="auto" w:sz="4" w:space="0"/>
                    <w:bottom w:val="single" w:color="auto" w:sz="4" w:space="0"/>
                  </w:tcBorders>
                  <w:noWrap w:val="0"/>
                  <w:vAlign w:val="center"/>
                </w:tcPr>
                <w:p w14:paraId="77410D3B">
                  <w:pPr>
                    <w:pStyle w:val="34"/>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收集后交由当地环卫部门处置</w:t>
                  </w:r>
                </w:p>
              </w:tc>
              <w:tc>
                <w:tcPr>
                  <w:tcW w:w="572" w:type="pct"/>
                  <w:vMerge w:val="continue"/>
                  <w:tcBorders>
                    <w:top w:val="single" w:color="auto" w:sz="4" w:space="0"/>
                    <w:bottom w:val="single" w:color="auto" w:sz="4" w:space="0"/>
                  </w:tcBorders>
                  <w:noWrap w:val="0"/>
                  <w:vAlign w:val="center"/>
                </w:tcPr>
                <w:p w14:paraId="7E6EB4DD">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kern w:val="2"/>
                      <w:sz w:val="18"/>
                      <w:szCs w:val="18"/>
                      <w:highlight w:val="none"/>
                      <w:lang w:val="en-US" w:eastAsia="zh-CN" w:bidi="ar-SA"/>
                    </w:rPr>
                  </w:pPr>
                </w:p>
              </w:tc>
              <w:tc>
                <w:tcPr>
                  <w:tcW w:w="1494" w:type="pct"/>
                  <w:tcBorders>
                    <w:top w:val="single" w:color="auto" w:sz="4" w:space="0"/>
                    <w:bottom w:val="single" w:color="auto" w:sz="4" w:space="0"/>
                  </w:tcBorders>
                  <w:noWrap w:val="0"/>
                  <w:vAlign w:val="center"/>
                </w:tcPr>
                <w:p w14:paraId="7A8DE955">
                  <w:pPr>
                    <w:pStyle w:val="34"/>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收集后交由当地环卫部门处置</w:t>
                  </w:r>
                </w:p>
              </w:tc>
              <w:tc>
                <w:tcPr>
                  <w:tcW w:w="655" w:type="pct"/>
                  <w:vMerge w:val="continue"/>
                  <w:tcBorders>
                    <w:top w:val="single" w:color="auto" w:sz="4" w:space="0"/>
                    <w:bottom w:val="single" w:color="auto" w:sz="4" w:space="0"/>
                  </w:tcBorders>
                  <w:noWrap w:val="0"/>
                  <w:vAlign w:val="center"/>
                </w:tcPr>
                <w:p w14:paraId="77FE6A70">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eastAsia="zh-CN"/>
                    </w:rPr>
                  </w:pPr>
                </w:p>
              </w:tc>
            </w:tr>
            <w:tr w14:paraId="483B65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restart"/>
                  <w:tcBorders>
                    <w:top w:val="single" w:color="auto" w:sz="4" w:space="0"/>
                    <w:bottom w:val="single" w:color="auto" w:sz="4" w:space="0"/>
                  </w:tcBorders>
                  <w:noWrap w:val="0"/>
                  <w:vAlign w:val="center"/>
                </w:tcPr>
                <w:p w14:paraId="126FDABE">
                  <w:pPr>
                    <w:pStyle w:val="34"/>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生态恢复</w:t>
                  </w:r>
                </w:p>
              </w:tc>
              <w:tc>
                <w:tcPr>
                  <w:tcW w:w="579" w:type="pct"/>
                  <w:tcBorders>
                    <w:top w:val="single" w:color="auto" w:sz="4" w:space="0"/>
                    <w:bottom w:val="single" w:color="auto" w:sz="4" w:space="0"/>
                  </w:tcBorders>
                  <w:noWrap w:val="0"/>
                  <w:vAlign w:val="center"/>
                </w:tcPr>
                <w:p w14:paraId="37D4D290">
                  <w:pPr>
                    <w:pStyle w:val="34"/>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植被</w:t>
                  </w:r>
                </w:p>
              </w:tc>
              <w:tc>
                <w:tcPr>
                  <w:tcW w:w="1183" w:type="pct"/>
                  <w:tcBorders>
                    <w:top w:val="single" w:color="auto" w:sz="4" w:space="0"/>
                    <w:bottom w:val="single" w:color="auto" w:sz="4" w:space="0"/>
                  </w:tcBorders>
                  <w:noWrap w:val="0"/>
                  <w:vAlign w:val="center"/>
                </w:tcPr>
                <w:p w14:paraId="455E8D77">
                  <w:pPr>
                    <w:pStyle w:val="34"/>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边开采边恢复，对矿区采取合理的复绿措施</w:t>
                  </w:r>
                </w:p>
              </w:tc>
              <w:tc>
                <w:tcPr>
                  <w:tcW w:w="572" w:type="pct"/>
                  <w:vMerge w:val="restart"/>
                  <w:tcBorders>
                    <w:top w:val="single" w:color="auto" w:sz="4" w:space="0"/>
                    <w:bottom w:val="single" w:color="auto" w:sz="4" w:space="0"/>
                  </w:tcBorders>
                  <w:noWrap w:val="0"/>
                  <w:vAlign w:val="center"/>
                </w:tcPr>
                <w:p w14:paraId="392611BE">
                  <w:pPr>
                    <w:keepNext w:val="0"/>
                    <w:keepLines w:val="0"/>
                    <w:widowControl/>
                    <w:suppressLineNumbers w:val="0"/>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3202.99</w:t>
                  </w:r>
                </w:p>
              </w:tc>
              <w:tc>
                <w:tcPr>
                  <w:tcW w:w="1494" w:type="pct"/>
                  <w:tcBorders>
                    <w:top w:val="single" w:color="auto" w:sz="4" w:space="0"/>
                    <w:bottom w:val="single" w:color="auto" w:sz="4" w:space="0"/>
                  </w:tcBorders>
                  <w:noWrap w:val="0"/>
                  <w:vAlign w:val="center"/>
                </w:tcPr>
                <w:p w14:paraId="71D61683">
                  <w:pPr>
                    <w:pStyle w:val="34"/>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边开采边恢复，对矿区采取合理的复绿措施</w:t>
                  </w:r>
                </w:p>
              </w:tc>
              <w:tc>
                <w:tcPr>
                  <w:tcW w:w="655" w:type="pct"/>
                  <w:vMerge w:val="restart"/>
                  <w:tcBorders>
                    <w:top w:val="single" w:color="auto" w:sz="4" w:space="0"/>
                    <w:bottom w:val="single" w:color="auto" w:sz="4" w:space="0"/>
                  </w:tcBorders>
                  <w:noWrap w:val="0"/>
                  <w:vAlign w:val="center"/>
                </w:tcPr>
                <w:p w14:paraId="7AE2F03E">
                  <w:pPr>
                    <w:pStyle w:val="34"/>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1032.25</w:t>
                  </w:r>
                </w:p>
              </w:tc>
            </w:tr>
            <w:tr w14:paraId="53F259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continue"/>
                  <w:tcBorders>
                    <w:top w:val="single" w:color="auto" w:sz="4" w:space="0"/>
                    <w:bottom w:val="single" w:color="auto" w:sz="4" w:space="0"/>
                  </w:tcBorders>
                  <w:noWrap w:val="0"/>
                  <w:vAlign w:val="center"/>
                </w:tcPr>
                <w:p w14:paraId="5BF70A37">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579" w:type="pct"/>
                  <w:tcBorders>
                    <w:top w:val="single" w:color="auto" w:sz="4" w:space="0"/>
                    <w:bottom w:val="single" w:color="auto" w:sz="4" w:space="0"/>
                  </w:tcBorders>
                  <w:noWrap w:val="0"/>
                  <w:vAlign w:val="center"/>
                </w:tcPr>
                <w:p w14:paraId="3242ECEA">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复绿</w:t>
                  </w:r>
                </w:p>
              </w:tc>
              <w:tc>
                <w:tcPr>
                  <w:tcW w:w="1183" w:type="pct"/>
                  <w:tcBorders>
                    <w:top w:val="single" w:color="auto" w:sz="4" w:space="0"/>
                    <w:bottom w:val="single" w:color="auto" w:sz="4" w:space="0"/>
                  </w:tcBorders>
                  <w:noWrap w:val="0"/>
                  <w:vAlign w:val="center"/>
                </w:tcPr>
                <w:p w14:paraId="02318761">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根据土地规划要求，进行合理复绿</w:t>
                  </w:r>
                </w:p>
              </w:tc>
              <w:tc>
                <w:tcPr>
                  <w:tcW w:w="572" w:type="pct"/>
                  <w:vMerge w:val="continue"/>
                  <w:tcBorders>
                    <w:top w:val="single" w:color="auto" w:sz="4" w:space="0"/>
                    <w:bottom w:val="single" w:color="auto" w:sz="4" w:space="0"/>
                  </w:tcBorders>
                  <w:noWrap w:val="0"/>
                  <w:vAlign w:val="center"/>
                </w:tcPr>
                <w:p w14:paraId="773CBF3F">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kern w:val="2"/>
                      <w:sz w:val="18"/>
                      <w:szCs w:val="18"/>
                      <w:highlight w:val="none"/>
                      <w:lang w:val="en-US" w:eastAsia="zh-CN" w:bidi="ar-SA"/>
                    </w:rPr>
                  </w:pPr>
                </w:p>
              </w:tc>
              <w:tc>
                <w:tcPr>
                  <w:tcW w:w="1494" w:type="pct"/>
                  <w:tcBorders>
                    <w:top w:val="single" w:color="auto" w:sz="4" w:space="0"/>
                    <w:bottom w:val="single" w:color="auto" w:sz="4" w:space="0"/>
                  </w:tcBorders>
                  <w:noWrap w:val="0"/>
                  <w:vAlign w:val="center"/>
                </w:tcPr>
                <w:p w14:paraId="77F9C890">
                  <w:pPr>
                    <w:pStyle w:val="3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sz w:val="18"/>
                      <w:szCs w:val="18"/>
                      <w:highlight w:val="none"/>
                    </w:rPr>
                    <w:t>根据土地规划要求，进行合理复绿</w:t>
                  </w:r>
                </w:p>
              </w:tc>
              <w:tc>
                <w:tcPr>
                  <w:tcW w:w="655" w:type="pct"/>
                  <w:vMerge w:val="continue"/>
                  <w:tcBorders>
                    <w:top w:val="single" w:color="auto" w:sz="4" w:space="0"/>
                    <w:bottom w:val="single" w:color="auto" w:sz="4" w:space="0"/>
                  </w:tcBorders>
                  <w:noWrap w:val="0"/>
                  <w:vAlign w:val="center"/>
                </w:tcPr>
                <w:p w14:paraId="0B76C05D">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r>
            <w:tr w14:paraId="453F16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continue"/>
                  <w:tcBorders>
                    <w:top w:val="single" w:color="auto" w:sz="4" w:space="0"/>
                    <w:bottom w:val="single" w:color="auto" w:sz="4" w:space="0"/>
                  </w:tcBorders>
                  <w:noWrap w:val="0"/>
                  <w:vAlign w:val="center"/>
                </w:tcPr>
                <w:p w14:paraId="092AC1FE">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579" w:type="pct"/>
                  <w:tcBorders>
                    <w:top w:val="single" w:color="auto" w:sz="4" w:space="0"/>
                    <w:bottom w:val="single" w:color="auto" w:sz="4" w:space="0"/>
                  </w:tcBorders>
                  <w:noWrap w:val="0"/>
                  <w:vAlign w:val="center"/>
                </w:tcPr>
                <w:p w14:paraId="0A73B913">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水土流失</w:t>
                  </w:r>
                </w:p>
              </w:tc>
              <w:tc>
                <w:tcPr>
                  <w:tcW w:w="1183" w:type="pct"/>
                  <w:tcBorders>
                    <w:top w:val="single" w:color="auto" w:sz="4" w:space="0"/>
                    <w:bottom w:val="single" w:color="auto" w:sz="4" w:space="0"/>
                  </w:tcBorders>
                  <w:noWrap w:val="0"/>
                  <w:vAlign w:val="center"/>
                </w:tcPr>
                <w:p w14:paraId="72526E1F">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lang w:val="en-US" w:eastAsia="zh-CN"/>
                    </w:rPr>
                    <w:t>对易产生山坡汇水的区域实施防止水土流失工程</w:t>
                  </w:r>
                </w:p>
              </w:tc>
              <w:tc>
                <w:tcPr>
                  <w:tcW w:w="572" w:type="pct"/>
                  <w:vMerge w:val="continue"/>
                  <w:tcBorders>
                    <w:top w:val="single" w:color="auto" w:sz="4" w:space="0"/>
                    <w:bottom w:val="single" w:color="auto" w:sz="4" w:space="0"/>
                  </w:tcBorders>
                  <w:noWrap w:val="0"/>
                  <w:vAlign w:val="center"/>
                </w:tcPr>
                <w:p w14:paraId="531BA97C">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kern w:val="2"/>
                      <w:sz w:val="18"/>
                      <w:szCs w:val="18"/>
                      <w:highlight w:val="none"/>
                      <w:lang w:val="en-US" w:eastAsia="zh-CN" w:bidi="ar-SA"/>
                    </w:rPr>
                  </w:pPr>
                </w:p>
              </w:tc>
              <w:tc>
                <w:tcPr>
                  <w:tcW w:w="1494" w:type="pct"/>
                  <w:tcBorders>
                    <w:top w:val="single" w:color="auto" w:sz="4" w:space="0"/>
                    <w:bottom w:val="single" w:color="auto" w:sz="4" w:space="0"/>
                  </w:tcBorders>
                  <w:noWrap w:val="0"/>
                  <w:vAlign w:val="center"/>
                </w:tcPr>
                <w:p w14:paraId="5C928DE9">
                  <w:pPr>
                    <w:pStyle w:val="3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sz w:val="18"/>
                      <w:szCs w:val="18"/>
                      <w:highlight w:val="none"/>
                      <w:lang w:val="en-US" w:eastAsia="zh-CN"/>
                    </w:rPr>
                    <w:t>对易产生山坡汇水的区域实施防止水土流失工程</w:t>
                  </w:r>
                </w:p>
              </w:tc>
              <w:tc>
                <w:tcPr>
                  <w:tcW w:w="655" w:type="pct"/>
                  <w:vMerge w:val="continue"/>
                  <w:tcBorders>
                    <w:top w:val="single" w:color="auto" w:sz="4" w:space="0"/>
                    <w:bottom w:val="single" w:color="auto" w:sz="4" w:space="0"/>
                  </w:tcBorders>
                  <w:noWrap w:val="0"/>
                  <w:vAlign w:val="center"/>
                </w:tcPr>
                <w:p w14:paraId="324047FB">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r>
            <w:tr w14:paraId="5FCFAA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vMerge w:val="continue"/>
                  <w:tcBorders>
                    <w:top w:val="single" w:color="auto" w:sz="4" w:space="0"/>
                    <w:bottom w:val="single" w:color="auto" w:sz="4" w:space="0"/>
                  </w:tcBorders>
                  <w:noWrap w:val="0"/>
                  <w:vAlign w:val="center"/>
                </w:tcPr>
                <w:p w14:paraId="65E78EE0">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rPr>
                  </w:pPr>
                </w:p>
              </w:tc>
              <w:tc>
                <w:tcPr>
                  <w:tcW w:w="579" w:type="pct"/>
                  <w:tcBorders>
                    <w:top w:val="single" w:color="auto" w:sz="4" w:space="0"/>
                    <w:bottom w:val="single" w:color="auto" w:sz="4" w:space="0"/>
                  </w:tcBorders>
                  <w:noWrap w:val="0"/>
                  <w:vAlign w:val="center"/>
                </w:tcPr>
                <w:p w14:paraId="14771E29">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复垦</w:t>
                  </w:r>
                </w:p>
              </w:tc>
              <w:tc>
                <w:tcPr>
                  <w:tcW w:w="1183" w:type="pct"/>
                  <w:tcBorders>
                    <w:top w:val="single" w:color="auto" w:sz="4" w:space="0"/>
                    <w:bottom w:val="single" w:color="auto" w:sz="4" w:space="0"/>
                  </w:tcBorders>
                  <w:noWrap w:val="0"/>
                  <w:vAlign w:val="center"/>
                </w:tcPr>
                <w:p w14:paraId="1AB519AF">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sz w:val="18"/>
                      <w:szCs w:val="18"/>
                      <w:highlight w:val="none"/>
                      <w:lang w:val="en-US" w:eastAsia="zh-CN"/>
                    </w:rPr>
                    <w:t>土地复垦</w:t>
                  </w:r>
                </w:p>
              </w:tc>
              <w:tc>
                <w:tcPr>
                  <w:tcW w:w="572" w:type="pct"/>
                  <w:tcBorders>
                    <w:top w:val="single" w:color="auto" w:sz="4" w:space="0"/>
                    <w:bottom w:val="single" w:color="auto" w:sz="4" w:space="0"/>
                  </w:tcBorders>
                  <w:noWrap w:val="0"/>
                  <w:vAlign w:val="center"/>
                </w:tcPr>
                <w:p w14:paraId="7DC3B85E">
                  <w:pPr>
                    <w:keepNext w:val="0"/>
                    <w:keepLines w:val="0"/>
                    <w:widowControl/>
                    <w:suppressLineNumbers w:val="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2501.1</w:t>
                  </w:r>
                </w:p>
              </w:tc>
              <w:tc>
                <w:tcPr>
                  <w:tcW w:w="1494" w:type="pct"/>
                  <w:tcBorders>
                    <w:top w:val="single" w:color="auto" w:sz="4" w:space="0"/>
                    <w:bottom w:val="single" w:color="auto" w:sz="4" w:space="0"/>
                  </w:tcBorders>
                  <w:noWrap w:val="0"/>
                  <w:vAlign w:val="center"/>
                </w:tcPr>
                <w:p w14:paraId="665B9F47">
                  <w:pPr>
                    <w:pStyle w:val="3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sz w:val="18"/>
                      <w:szCs w:val="18"/>
                      <w:highlight w:val="none"/>
                      <w:lang w:val="en-US" w:eastAsia="zh-CN"/>
                    </w:rPr>
                    <w:t>土地复垦</w:t>
                  </w:r>
                </w:p>
              </w:tc>
              <w:tc>
                <w:tcPr>
                  <w:tcW w:w="655" w:type="pct"/>
                  <w:tcBorders>
                    <w:top w:val="single" w:color="auto" w:sz="4" w:space="0"/>
                    <w:bottom w:val="single" w:color="auto" w:sz="4" w:space="0"/>
                  </w:tcBorders>
                  <w:noWrap w:val="0"/>
                  <w:vAlign w:val="center"/>
                </w:tcPr>
                <w:p w14:paraId="64731F5C">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850.75</w:t>
                  </w:r>
                </w:p>
              </w:tc>
            </w:tr>
            <w:tr w14:paraId="2D2BC9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tcBorders>
                    <w:top w:val="single" w:color="auto" w:sz="4" w:space="0"/>
                    <w:bottom w:val="single" w:color="auto" w:sz="4" w:space="0"/>
                  </w:tcBorders>
                  <w:noWrap w:val="0"/>
                  <w:vAlign w:val="center"/>
                </w:tcPr>
                <w:p w14:paraId="35C44003">
                  <w:pPr>
                    <w:pStyle w:val="34"/>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风险防范</w:t>
                  </w:r>
                </w:p>
              </w:tc>
              <w:tc>
                <w:tcPr>
                  <w:tcW w:w="579" w:type="pct"/>
                  <w:tcBorders>
                    <w:top w:val="single" w:color="auto" w:sz="4" w:space="0"/>
                    <w:bottom w:val="single" w:color="auto" w:sz="4" w:space="0"/>
                  </w:tcBorders>
                  <w:noWrap w:val="0"/>
                  <w:vAlign w:val="center"/>
                </w:tcPr>
                <w:p w14:paraId="1FED4650">
                  <w:pPr>
                    <w:keepNext w:val="0"/>
                    <w:keepLines w:val="0"/>
                    <w:widowControl/>
                    <w:suppressLineNumbers w:val="0"/>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sz w:val="18"/>
                      <w:szCs w:val="18"/>
                      <w:highlight w:val="none"/>
                      <w:lang w:eastAsia="zh-CN"/>
                    </w:rPr>
                    <w:t>滑坡、泥石流</w:t>
                  </w:r>
                </w:p>
              </w:tc>
              <w:tc>
                <w:tcPr>
                  <w:tcW w:w="1183" w:type="pct"/>
                  <w:tcBorders>
                    <w:top w:val="single" w:color="auto" w:sz="4" w:space="0"/>
                    <w:bottom w:val="single" w:color="auto" w:sz="4" w:space="0"/>
                  </w:tcBorders>
                  <w:noWrap w:val="0"/>
                  <w:vAlign w:val="center"/>
                </w:tcPr>
                <w:p w14:paraId="367B899F">
                  <w:pPr>
                    <w:pStyle w:val="34"/>
                    <w:jc w:val="center"/>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rPr>
                    <w:t>加强边坡日常检查和安全管理</w:t>
                  </w:r>
                  <w:r>
                    <w:rPr>
                      <w:rFonts w:hint="eastAsia" w:ascii="Times New Roman" w:hAnsi="Times New Roman" w:eastAsia="宋体" w:cs="Times New Roman"/>
                      <w:color w:val="000000"/>
                      <w:sz w:val="18"/>
                      <w:szCs w:val="18"/>
                      <w:highlight w:val="none"/>
                      <w:lang w:eastAsia="zh-CN"/>
                    </w:rPr>
                    <w:t>，修建截排水沟</w:t>
                  </w:r>
                </w:p>
              </w:tc>
              <w:tc>
                <w:tcPr>
                  <w:tcW w:w="572" w:type="pct"/>
                  <w:tcBorders>
                    <w:top w:val="single" w:color="auto" w:sz="4" w:space="0"/>
                    <w:bottom w:val="single" w:color="auto" w:sz="4" w:space="0"/>
                  </w:tcBorders>
                  <w:noWrap w:val="0"/>
                  <w:vAlign w:val="center"/>
                </w:tcPr>
                <w:p w14:paraId="73136447">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3</w:t>
                  </w:r>
                </w:p>
              </w:tc>
              <w:tc>
                <w:tcPr>
                  <w:tcW w:w="1494" w:type="pct"/>
                  <w:tcBorders>
                    <w:top w:val="single" w:color="auto" w:sz="4" w:space="0"/>
                    <w:bottom w:val="single" w:color="auto" w:sz="4" w:space="0"/>
                  </w:tcBorders>
                  <w:noWrap w:val="0"/>
                  <w:vAlign w:val="center"/>
                </w:tcPr>
                <w:p w14:paraId="53766B34">
                  <w:pPr>
                    <w:pStyle w:val="34"/>
                    <w:ind w:left="0" w:leftChars="0" w:firstLine="0" w:firstLineChars="0"/>
                    <w:jc w:val="center"/>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sz w:val="18"/>
                      <w:szCs w:val="18"/>
                      <w:highlight w:val="none"/>
                    </w:rPr>
                    <w:t>加强边坡日常检查和安全管理</w:t>
                  </w:r>
                  <w:r>
                    <w:rPr>
                      <w:rFonts w:hint="eastAsia" w:ascii="Times New Roman" w:hAnsi="Times New Roman" w:eastAsia="宋体" w:cs="Times New Roman"/>
                      <w:color w:val="000000"/>
                      <w:sz w:val="18"/>
                      <w:szCs w:val="18"/>
                      <w:highlight w:val="none"/>
                      <w:lang w:eastAsia="zh-CN"/>
                    </w:rPr>
                    <w:t>，修建截排水沟</w:t>
                  </w:r>
                </w:p>
              </w:tc>
              <w:tc>
                <w:tcPr>
                  <w:tcW w:w="655" w:type="pct"/>
                  <w:tcBorders>
                    <w:top w:val="single" w:color="auto" w:sz="4" w:space="0"/>
                    <w:bottom w:val="single" w:color="auto" w:sz="4" w:space="0"/>
                  </w:tcBorders>
                  <w:noWrap w:val="0"/>
                  <w:vAlign w:val="center"/>
                </w:tcPr>
                <w:p w14:paraId="02CA15BD">
                  <w:pPr>
                    <w:pStyle w:val="34"/>
                    <w:keepNext w:val="0"/>
                    <w:keepLines w:val="0"/>
                    <w:pageBreakBefore w:val="0"/>
                    <w:widowControl w:val="0"/>
                    <w:kinsoku/>
                    <w:wordWrap/>
                    <w:overflowPunct/>
                    <w:topLinePunct w:val="0"/>
                    <w:autoSpaceDE/>
                    <w:autoSpaceDN/>
                    <w:bidi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sz w:val="18"/>
                      <w:szCs w:val="18"/>
                      <w:highlight w:val="none"/>
                      <w:lang w:eastAsia="zh-CN"/>
                    </w:rPr>
                  </w:pPr>
                  <w:r>
                    <w:rPr>
                      <w:rFonts w:hint="eastAsia" w:ascii="Times New Roman" w:hAnsi="Times New Roman" w:eastAsia="宋体" w:cs="Times New Roman"/>
                      <w:color w:val="000000"/>
                      <w:kern w:val="2"/>
                      <w:sz w:val="18"/>
                      <w:szCs w:val="18"/>
                      <w:highlight w:val="none"/>
                      <w:lang w:val="en-US" w:eastAsia="zh-CN" w:bidi="ar-SA"/>
                    </w:rPr>
                    <w:t>3</w:t>
                  </w:r>
                </w:p>
              </w:tc>
            </w:tr>
            <w:tr w14:paraId="196BF7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tcBorders>
                    <w:top w:val="single" w:color="auto" w:sz="4" w:space="0"/>
                    <w:bottom w:val="single" w:color="auto" w:sz="4" w:space="0"/>
                  </w:tcBorders>
                  <w:noWrap w:val="0"/>
                  <w:vAlign w:val="center"/>
                </w:tcPr>
                <w:p w14:paraId="61E24781">
                  <w:pPr>
                    <w:pStyle w:val="34"/>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环境管理与监测计划</w:t>
                  </w:r>
                </w:p>
              </w:tc>
              <w:tc>
                <w:tcPr>
                  <w:tcW w:w="579" w:type="pct"/>
                  <w:tcBorders>
                    <w:top w:val="single" w:color="auto" w:sz="4" w:space="0"/>
                    <w:bottom w:val="single" w:color="auto" w:sz="4" w:space="0"/>
                  </w:tcBorders>
                  <w:noWrap w:val="0"/>
                  <w:vAlign w:val="center"/>
                </w:tcPr>
                <w:p w14:paraId="6D7B99E2">
                  <w:pPr>
                    <w:pStyle w:val="34"/>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场地范围</w:t>
                  </w:r>
                </w:p>
              </w:tc>
              <w:tc>
                <w:tcPr>
                  <w:tcW w:w="1183" w:type="pct"/>
                  <w:tcBorders>
                    <w:top w:val="single" w:color="auto" w:sz="4" w:space="0"/>
                    <w:bottom w:val="single" w:color="auto" w:sz="4" w:space="0"/>
                  </w:tcBorders>
                  <w:noWrap w:val="0"/>
                  <w:vAlign w:val="center"/>
                </w:tcPr>
                <w:p w14:paraId="1126AF75">
                  <w:pPr>
                    <w:pStyle w:val="34"/>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定期监测计划、严格落实环保措施、制度上墙。</w:t>
                  </w:r>
                </w:p>
              </w:tc>
              <w:tc>
                <w:tcPr>
                  <w:tcW w:w="572" w:type="pct"/>
                  <w:tcBorders>
                    <w:top w:val="single" w:color="auto" w:sz="4" w:space="0"/>
                    <w:bottom w:val="single" w:color="auto" w:sz="4" w:space="0"/>
                  </w:tcBorders>
                  <w:noWrap w:val="0"/>
                  <w:vAlign w:val="center"/>
                </w:tcPr>
                <w:p w14:paraId="55F746E9">
                  <w:pPr>
                    <w:keepNext w:val="0"/>
                    <w:keepLines w:val="0"/>
                    <w:widowControl/>
                    <w:suppressLineNumbers w:val="0"/>
                    <w:jc w:val="center"/>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3</w:t>
                  </w:r>
                </w:p>
              </w:tc>
              <w:tc>
                <w:tcPr>
                  <w:tcW w:w="1494" w:type="pct"/>
                  <w:tcBorders>
                    <w:top w:val="single" w:color="auto" w:sz="4" w:space="0"/>
                    <w:bottom w:val="single" w:color="auto" w:sz="4" w:space="0"/>
                  </w:tcBorders>
                  <w:noWrap w:val="0"/>
                  <w:vAlign w:val="center"/>
                </w:tcPr>
                <w:p w14:paraId="4E97432E">
                  <w:pPr>
                    <w:pStyle w:val="34"/>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sz w:val="18"/>
                      <w:szCs w:val="18"/>
                      <w:highlight w:val="none"/>
                      <w:lang w:eastAsia="zh-CN"/>
                    </w:rPr>
                    <w:t>定期监测计划、严格落实环保措施、制度上墙。</w:t>
                  </w:r>
                </w:p>
              </w:tc>
              <w:tc>
                <w:tcPr>
                  <w:tcW w:w="655" w:type="pct"/>
                  <w:tcBorders>
                    <w:top w:val="single" w:color="auto" w:sz="4" w:space="0"/>
                    <w:bottom w:val="single" w:color="auto" w:sz="4" w:space="0"/>
                  </w:tcBorders>
                  <w:noWrap w:val="0"/>
                  <w:vAlign w:val="center"/>
                </w:tcPr>
                <w:p w14:paraId="121CF94C">
                  <w:pPr>
                    <w:keepNext w:val="0"/>
                    <w:keepLines w:val="0"/>
                    <w:widowControl/>
                    <w:suppressLineNumbers w:val="0"/>
                    <w:ind w:left="0" w:leftChars="0" w:firstLine="0" w:firstLineChars="0"/>
                    <w:jc w:val="center"/>
                    <w:rPr>
                      <w:rFonts w:hint="default" w:ascii="Times New Roman" w:hAnsi="Times New Roman" w:eastAsia="宋体" w:cs="Times New Roman"/>
                      <w:color w:val="000000"/>
                      <w:sz w:val="18"/>
                      <w:szCs w:val="18"/>
                      <w:highlight w:val="none"/>
                      <w:lang w:eastAsia="zh-CN"/>
                    </w:rPr>
                  </w:pPr>
                  <w:r>
                    <w:rPr>
                      <w:rFonts w:hint="eastAsia" w:ascii="Times New Roman" w:hAnsi="Times New Roman" w:eastAsia="宋体" w:cs="Times New Roman"/>
                      <w:color w:val="000000"/>
                      <w:kern w:val="2"/>
                      <w:sz w:val="18"/>
                      <w:szCs w:val="18"/>
                      <w:highlight w:val="none"/>
                      <w:lang w:val="en-US" w:eastAsia="zh-CN" w:bidi="ar-SA"/>
                    </w:rPr>
                    <w:t>3</w:t>
                  </w:r>
                </w:p>
              </w:tc>
            </w:tr>
            <w:tr w14:paraId="49328C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4" w:type="pct"/>
                  <w:tcBorders>
                    <w:top w:val="single" w:color="auto" w:sz="4" w:space="0"/>
                    <w:bottom w:val="single" w:color="auto" w:sz="12" w:space="0"/>
                  </w:tcBorders>
                  <w:noWrap w:val="0"/>
                  <w:vAlign w:val="center"/>
                </w:tcPr>
                <w:p w14:paraId="56544E6F">
                  <w:pPr>
                    <w:pStyle w:val="34"/>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lang w:eastAsia="zh-CN"/>
                    </w:rPr>
                    <w:t>合计</w:t>
                  </w:r>
                </w:p>
              </w:tc>
              <w:tc>
                <w:tcPr>
                  <w:tcW w:w="579" w:type="pct"/>
                  <w:tcBorders>
                    <w:top w:val="single" w:color="auto" w:sz="4" w:space="0"/>
                    <w:bottom w:val="single" w:color="auto" w:sz="12" w:space="0"/>
                  </w:tcBorders>
                  <w:noWrap w:val="0"/>
                  <w:vAlign w:val="center"/>
                </w:tcPr>
                <w:p w14:paraId="71FDCAC4">
                  <w:pPr>
                    <w:pStyle w:val="34"/>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lang w:eastAsia="zh-CN"/>
                    </w:rPr>
                    <w:t>/</w:t>
                  </w:r>
                </w:p>
              </w:tc>
              <w:tc>
                <w:tcPr>
                  <w:tcW w:w="1183" w:type="pct"/>
                  <w:tcBorders>
                    <w:top w:val="single" w:color="auto" w:sz="4" w:space="0"/>
                    <w:bottom w:val="single" w:color="auto" w:sz="12" w:space="0"/>
                  </w:tcBorders>
                  <w:noWrap w:val="0"/>
                  <w:vAlign w:val="center"/>
                </w:tcPr>
                <w:p w14:paraId="0DBCDF10">
                  <w:pPr>
                    <w:pStyle w:val="34"/>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w:t>
                  </w:r>
                  <w:r>
                    <w:rPr>
                      <w:rFonts w:hint="eastAsia" w:ascii="Times New Roman" w:hAnsi="Times New Roman" w:eastAsia="宋体" w:cs="Times New Roman"/>
                      <w:color w:val="000000"/>
                      <w:kern w:val="2"/>
                      <w:sz w:val="18"/>
                      <w:szCs w:val="18"/>
                      <w:highlight w:val="none"/>
                      <w:lang w:val="en-US" w:eastAsia="zh-CN" w:bidi="ar-SA"/>
                    </w:rPr>
                    <w:t xml:space="preserve"> </w:t>
                  </w:r>
                </w:p>
              </w:tc>
              <w:tc>
                <w:tcPr>
                  <w:tcW w:w="572" w:type="pct"/>
                  <w:tcBorders>
                    <w:top w:val="single" w:color="auto" w:sz="4" w:space="0"/>
                    <w:bottom w:val="single" w:color="auto" w:sz="12" w:space="0"/>
                  </w:tcBorders>
                  <w:noWrap w:val="0"/>
                  <w:vAlign w:val="center"/>
                </w:tcPr>
                <w:p w14:paraId="4CC0EB5E">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eastAsia" w:ascii="Times New Roman" w:hAnsi="Times New Roman" w:eastAsia="宋体" w:cs="Times New Roman"/>
                      <w:color w:val="000000"/>
                      <w:kern w:val="2"/>
                      <w:sz w:val="18"/>
                      <w:szCs w:val="18"/>
                      <w:highlight w:val="none"/>
                      <w:lang w:val="en-US" w:eastAsia="zh-CN" w:bidi="ar-SA"/>
                    </w:rPr>
                    <w:t>6489.09</w:t>
                  </w:r>
                </w:p>
              </w:tc>
              <w:tc>
                <w:tcPr>
                  <w:tcW w:w="1494" w:type="pct"/>
                  <w:tcBorders>
                    <w:top w:val="single" w:color="auto" w:sz="4" w:space="0"/>
                    <w:bottom w:val="single" w:color="auto" w:sz="12" w:space="0"/>
                  </w:tcBorders>
                  <w:noWrap w:val="0"/>
                  <w:vAlign w:val="center"/>
                </w:tcPr>
                <w:p w14:paraId="3C8A1F82">
                  <w:pPr>
                    <w:pStyle w:val="34"/>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eastAsia" w:ascii="Times New Roman" w:hAnsi="Times New Roman" w:eastAsia="宋体" w:cs="Times New Roman"/>
                      <w:color w:val="000000"/>
                      <w:kern w:val="2"/>
                      <w:sz w:val="18"/>
                      <w:szCs w:val="18"/>
                      <w:highlight w:val="none"/>
                      <w:lang w:val="en-US" w:eastAsia="zh-CN" w:bidi="ar-SA"/>
                    </w:rPr>
                  </w:pPr>
                </w:p>
              </w:tc>
              <w:tc>
                <w:tcPr>
                  <w:tcW w:w="655" w:type="pct"/>
                  <w:tcBorders>
                    <w:top w:val="single" w:color="auto" w:sz="4" w:space="0"/>
                    <w:bottom w:val="single" w:color="auto" w:sz="12" w:space="0"/>
                  </w:tcBorders>
                  <w:noWrap w:val="0"/>
                  <w:vAlign w:val="center"/>
                </w:tcPr>
                <w:p w14:paraId="09FA5D5D">
                  <w:pPr>
                    <w:pStyle w:val="34"/>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eastAsia" w:cs="Times New Roman"/>
                      <w:color w:val="000000"/>
                      <w:kern w:val="2"/>
                      <w:sz w:val="18"/>
                      <w:szCs w:val="18"/>
                      <w:highlight w:val="none"/>
                      <w:lang w:val="en-US" w:eastAsia="zh-CN" w:bidi="ar-SA"/>
                    </w:rPr>
                    <w:t>2662</w:t>
                  </w:r>
                </w:p>
              </w:tc>
            </w:tr>
          </w:tbl>
          <w:p w14:paraId="1F68173B">
            <w:pPr>
              <w:pStyle w:val="23"/>
              <w:spacing w:line="360" w:lineRule="auto"/>
              <w:jc w:val="both"/>
              <w:rPr>
                <w:rFonts w:hint="default" w:ascii="Times New Roman" w:hAnsi="Times New Roman" w:eastAsia="宋体" w:cs="Times New Roman"/>
                <w:sz w:val="24"/>
                <w:lang w:val="en-US" w:eastAsia="zh-CN"/>
              </w:rPr>
            </w:pPr>
          </w:p>
        </w:tc>
      </w:tr>
      <w:tr w14:paraId="5983FD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3230" w:hRule="atLeast"/>
          <w:jc w:val="center"/>
        </w:trPr>
        <w:tc>
          <w:tcPr>
            <w:tcW w:w="5000" w:type="pct"/>
            <w:gridSpan w:val="2"/>
            <w:tcBorders>
              <w:tl2br w:val="nil"/>
              <w:tr2bl w:val="nil"/>
            </w:tcBorders>
            <w:noWrap w:val="0"/>
            <w:vAlign w:val="top"/>
          </w:tcPr>
          <w:p w14:paraId="71BE4622">
            <w:pPr>
              <w:pStyle w:val="23"/>
              <w:spacing w:line="360" w:lineRule="auto"/>
              <w:jc w:val="both"/>
              <w:rPr>
                <w:rFonts w:hint="default" w:ascii="Times New Roman" w:hAnsi="Times New Roman" w:eastAsia="宋体" w:cs="Times New Roman"/>
                <w:b/>
                <w:color w:val="auto"/>
                <w:sz w:val="28"/>
                <w:lang w:val="en-US" w:eastAsia="zh-CN"/>
              </w:rPr>
            </w:pPr>
            <w:r>
              <w:rPr>
                <w:rFonts w:hint="default" w:ascii="Times New Roman" w:hAnsi="Times New Roman" w:eastAsia="宋体" w:cs="Times New Roman"/>
                <w:b/>
                <w:color w:val="auto"/>
                <w:sz w:val="28"/>
                <w:lang w:val="en-US" w:eastAsia="zh-CN"/>
              </w:rPr>
              <w:t>与项目有关的生态破坏、污染物排放、主要环境问题及环境保护措施</w:t>
            </w:r>
          </w:p>
          <w:p w14:paraId="77C2AA85">
            <w:pPr>
              <w:pStyle w:val="23"/>
              <w:spacing w:line="360" w:lineRule="auto"/>
              <w:ind w:firstLine="482" w:firstLineChars="200"/>
              <w:jc w:val="both"/>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（一）</w:t>
            </w:r>
            <w:r>
              <w:rPr>
                <w:rFonts w:hint="default" w:ascii="Times New Roman" w:hAnsi="Times New Roman" w:eastAsia="宋体" w:cs="Times New Roman"/>
                <w:b/>
                <w:bCs/>
                <w:color w:val="auto"/>
                <w:sz w:val="24"/>
                <w:szCs w:val="24"/>
                <w:lang w:val="en-US" w:eastAsia="zh-CN"/>
              </w:rPr>
              <w:t>与项目有关的生态破坏及环境保护措施</w:t>
            </w:r>
          </w:p>
          <w:p w14:paraId="79659DC8">
            <w:pPr>
              <w:pStyle w:val="23"/>
              <w:spacing w:line="360" w:lineRule="auto"/>
              <w:ind w:firstLine="482" w:firstLineChars="200"/>
              <w:jc w:val="both"/>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rPr>
              <w:t>项目施工期的生态影响</w:t>
            </w:r>
            <w:r>
              <w:rPr>
                <w:rFonts w:hint="default" w:ascii="Times New Roman" w:hAnsi="Times New Roman" w:eastAsia="宋体" w:cs="Times New Roman"/>
                <w:b/>
                <w:bCs/>
                <w:color w:val="auto"/>
                <w:sz w:val="24"/>
                <w:szCs w:val="24"/>
                <w:lang w:val="en-US" w:eastAsia="zh-CN"/>
              </w:rPr>
              <w:t>及环境保护措施</w:t>
            </w:r>
          </w:p>
          <w:p w14:paraId="5C2917B8">
            <w:pPr>
              <w:pageBreakBefore w:val="0"/>
              <w:widowControl w:val="0"/>
              <w:kinsoku/>
              <w:wordWrap/>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施工期生态环境影响主要为部分矿区运输道路和排截水沟的修建及山顶剥离破坏了土地构型，破坏了植被，影响了自然景观。对施工过程中尽量减少对地表及植被的破坏，并及时进行恢复和补植。</w:t>
            </w:r>
          </w:p>
          <w:p w14:paraId="5FF3067C">
            <w:pPr>
              <w:pStyle w:val="23"/>
              <w:spacing w:line="360" w:lineRule="auto"/>
              <w:ind w:firstLine="480" w:firstLineChars="200"/>
              <w:jc w:val="both"/>
              <w:rPr>
                <w:rFonts w:hint="default" w:cs="Times New Roman"/>
                <w:color w:val="auto"/>
                <w:sz w:val="24"/>
                <w:szCs w:val="24"/>
                <w:lang w:eastAsia="zh-CN"/>
              </w:rPr>
            </w:pPr>
            <w:r>
              <w:rPr>
                <w:rFonts w:hint="default" w:ascii="Times New Roman" w:hAnsi="Times New Roman" w:eastAsia="宋体" w:cs="Times New Roman"/>
                <w:sz w:val="24"/>
                <w:szCs w:val="24"/>
              </w:rPr>
              <w:t>本项目</w:t>
            </w:r>
            <w:r>
              <w:rPr>
                <w:rFonts w:hint="default" w:cs="Times New Roman"/>
                <w:color w:val="auto"/>
                <w:sz w:val="24"/>
                <w:szCs w:val="24"/>
                <w:lang w:eastAsia="zh-CN"/>
              </w:rPr>
              <w:t>在施工期的环境影响是短暂的、可逆的，随着施工期的结束而消失。严格按照有关规定采取上述措施进行污染防治，并加强环保监管，使本项目施工对周围环境的影响降低到最小。</w:t>
            </w:r>
          </w:p>
          <w:p w14:paraId="5E12E2DB">
            <w:pPr>
              <w:pStyle w:val="23"/>
              <w:spacing w:line="360" w:lineRule="auto"/>
              <w:ind w:firstLine="482" w:firstLineChars="200"/>
              <w:jc w:val="both"/>
              <w:rPr>
                <w:rFonts w:hint="default" w:cs="Times New Roman"/>
                <w:b/>
                <w:bCs/>
                <w:color w:val="auto"/>
                <w:sz w:val="24"/>
                <w:szCs w:val="24"/>
                <w:lang w:val="en-US" w:eastAsia="zh-CN"/>
              </w:rPr>
            </w:pPr>
            <w:r>
              <w:rPr>
                <w:rFonts w:hint="eastAsia" w:cs="Times New Roman"/>
                <w:b/>
                <w:bCs/>
                <w:color w:val="auto"/>
                <w:sz w:val="24"/>
                <w:szCs w:val="24"/>
                <w:lang w:val="en-US" w:eastAsia="zh-CN"/>
              </w:rPr>
              <w:t>2、</w:t>
            </w:r>
            <w:r>
              <w:rPr>
                <w:rFonts w:hint="default" w:cs="Times New Roman"/>
                <w:b/>
                <w:bCs/>
                <w:color w:val="auto"/>
                <w:sz w:val="24"/>
                <w:szCs w:val="24"/>
                <w:lang w:eastAsia="zh-CN"/>
              </w:rPr>
              <w:t>项目</w:t>
            </w:r>
            <w:r>
              <w:rPr>
                <w:rFonts w:hint="default" w:cs="Times New Roman"/>
                <w:b/>
                <w:bCs/>
                <w:color w:val="auto"/>
                <w:sz w:val="24"/>
                <w:szCs w:val="24"/>
                <w:lang w:val="en-US" w:eastAsia="zh-CN"/>
              </w:rPr>
              <w:t>运营期</w:t>
            </w:r>
            <w:r>
              <w:rPr>
                <w:rFonts w:hint="default" w:cs="Times New Roman"/>
                <w:b/>
                <w:bCs/>
                <w:color w:val="auto"/>
                <w:sz w:val="24"/>
                <w:szCs w:val="24"/>
                <w:lang w:eastAsia="zh-CN"/>
              </w:rPr>
              <w:t>的生态影响</w:t>
            </w:r>
            <w:r>
              <w:rPr>
                <w:rFonts w:hint="default" w:cs="Times New Roman"/>
                <w:b/>
                <w:bCs/>
                <w:color w:val="auto"/>
                <w:sz w:val="24"/>
                <w:szCs w:val="24"/>
                <w:lang w:val="en-US" w:eastAsia="zh-CN"/>
              </w:rPr>
              <w:t>及环境保护措施</w:t>
            </w:r>
          </w:p>
          <w:p w14:paraId="4B6166C9">
            <w:pPr>
              <w:pStyle w:val="23"/>
              <w:spacing w:line="360" w:lineRule="auto"/>
              <w:ind w:firstLine="480" w:firstLineChars="200"/>
              <w:jc w:val="both"/>
              <w:rPr>
                <w:rFonts w:hint="default" w:cs="Times New Roman"/>
                <w:color w:val="auto"/>
                <w:sz w:val="24"/>
                <w:szCs w:val="24"/>
                <w:lang w:val="zh-CN" w:eastAsia="zh-CN"/>
              </w:rPr>
            </w:pPr>
            <w:r>
              <w:rPr>
                <w:rFonts w:hint="eastAsia" w:cs="Times New Roman"/>
                <w:color w:val="auto"/>
                <w:sz w:val="24"/>
                <w:szCs w:val="24"/>
                <w:lang w:val="en-US" w:eastAsia="zh-CN"/>
              </w:rPr>
              <w:t>（1）</w:t>
            </w:r>
            <w:r>
              <w:rPr>
                <w:rFonts w:hint="default" w:cs="Times New Roman"/>
                <w:color w:val="auto"/>
                <w:sz w:val="24"/>
                <w:szCs w:val="24"/>
                <w:lang w:val="en-US" w:eastAsia="zh-CN"/>
              </w:rPr>
              <w:t>水土流失及保护措施</w:t>
            </w:r>
          </w:p>
          <w:p w14:paraId="5C07CA70">
            <w:pPr>
              <w:pStyle w:val="23"/>
              <w:spacing w:line="360" w:lineRule="auto"/>
              <w:ind w:firstLine="480" w:firstLineChars="200"/>
              <w:jc w:val="both"/>
              <w:rPr>
                <w:rFonts w:hint="default" w:cs="Times New Roman"/>
                <w:color w:val="auto"/>
                <w:sz w:val="24"/>
                <w:szCs w:val="24"/>
                <w:lang w:val="en-US" w:eastAsia="zh-CN"/>
              </w:rPr>
            </w:pPr>
            <w:r>
              <w:rPr>
                <w:rFonts w:hint="default" w:cs="Times New Roman"/>
                <w:color w:val="auto"/>
                <w:sz w:val="24"/>
                <w:szCs w:val="24"/>
                <w:lang w:val="en-US" w:eastAsia="zh-CN"/>
              </w:rPr>
              <w:t>本项目在矿山开采、道路修建及</w:t>
            </w:r>
            <w:r>
              <w:rPr>
                <w:rFonts w:hint="default" w:cs="Times New Roman"/>
                <w:color w:val="auto"/>
                <w:sz w:val="24"/>
                <w:szCs w:val="24"/>
                <w:lang w:eastAsia="zh-CN"/>
              </w:rPr>
              <w:t>其他辅助设施</w:t>
            </w:r>
            <w:r>
              <w:rPr>
                <w:rFonts w:hint="default" w:cs="Times New Roman"/>
                <w:color w:val="auto"/>
                <w:sz w:val="24"/>
                <w:szCs w:val="24"/>
                <w:lang w:val="en-US" w:eastAsia="zh-CN"/>
              </w:rPr>
              <w:t>建设过程中</w:t>
            </w:r>
            <w:r>
              <w:rPr>
                <w:rFonts w:hint="default" w:cs="Times New Roman"/>
                <w:color w:val="auto"/>
                <w:sz w:val="24"/>
                <w:szCs w:val="24"/>
                <w:lang w:eastAsia="zh-CN"/>
              </w:rPr>
              <w:t>破坏了土地构型，植被被破坏，雨水侵蚀致使土壤流失，土层变薄，土壤发生层次缺失，导致表土裸露，局部蓄水固土的功能将丧失，从而导致水土流失。</w:t>
            </w:r>
          </w:p>
          <w:p w14:paraId="46A3D43B">
            <w:pPr>
              <w:pStyle w:val="23"/>
              <w:spacing w:line="360" w:lineRule="auto"/>
              <w:ind w:firstLine="480" w:firstLineChars="200"/>
              <w:jc w:val="both"/>
              <w:rPr>
                <w:rFonts w:hint="default" w:cs="Times New Roman"/>
                <w:color w:val="auto"/>
                <w:sz w:val="24"/>
                <w:szCs w:val="24"/>
                <w:lang w:val="en-US" w:eastAsia="zh-CN"/>
              </w:rPr>
            </w:pPr>
            <w:r>
              <w:rPr>
                <w:rFonts w:hint="default" w:cs="Times New Roman"/>
                <w:color w:val="auto"/>
                <w:sz w:val="24"/>
                <w:szCs w:val="24"/>
                <w:lang w:val="en-US" w:eastAsia="zh-CN"/>
              </w:rPr>
              <w:t>采取的防治措施如下：</w:t>
            </w:r>
          </w:p>
          <w:p w14:paraId="38BE2E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contextualSpacing/>
              <w:textAlignment w:val="auto"/>
              <w:rPr>
                <w:rFonts w:hint="default" w:ascii="Times New Roman" w:hAnsi="Times New Roman" w:eastAsia="宋体" w:cs="Times New Roman"/>
                <w:b/>
                <w:bCs/>
                <w:color w:val="000000"/>
                <w:sz w:val="24"/>
                <w:szCs w:val="24"/>
              </w:rPr>
            </w:pPr>
            <w:r>
              <w:rPr>
                <w:rFonts w:hint="default" w:ascii="Calibri" w:hAnsi="Calibri" w:cs="Calibri"/>
                <w:b/>
                <w:bCs/>
                <w:color w:val="000000"/>
                <w:sz w:val="24"/>
                <w:szCs w:val="24"/>
                <w:lang w:val="en-US" w:eastAsia="zh-CN"/>
              </w:rPr>
              <w:t>①</w:t>
            </w:r>
            <w:r>
              <w:rPr>
                <w:rFonts w:hint="default" w:ascii="Times New Roman" w:hAnsi="Times New Roman" w:eastAsia="宋体" w:cs="Times New Roman"/>
                <w:b/>
                <w:bCs/>
                <w:color w:val="000000"/>
                <w:sz w:val="24"/>
                <w:szCs w:val="24"/>
              </w:rPr>
              <w:t>开采区</w:t>
            </w:r>
          </w:p>
          <w:p w14:paraId="37C5739F">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主体工程在该区域进行表土剥离及表土回覆，开采期间</w:t>
            </w:r>
            <w:r>
              <w:rPr>
                <w:rFonts w:hint="default" w:ascii="Times New Roman" w:hAnsi="Times New Roman" w:eastAsia="宋体" w:cs="Times New Roman"/>
                <w:color w:val="000000"/>
                <w:sz w:val="24"/>
                <w:szCs w:val="24"/>
                <w:lang w:val="en-US" w:eastAsia="zh-CN"/>
              </w:rPr>
              <w:t>设置</w:t>
            </w:r>
            <w:r>
              <w:rPr>
                <w:rFonts w:hint="default" w:ascii="Times New Roman" w:hAnsi="Times New Roman" w:eastAsia="宋体" w:cs="Times New Roman"/>
                <w:color w:val="000000"/>
                <w:sz w:val="24"/>
                <w:szCs w:val="24"/>
              </w:rPr>
              <w:t>施工道路边坡防护及道路边沟。这些措施可起到一定水土保持作用，但未考虑防止降雨对采区的冲刷，造成水土流失，在采区上游有汇水侧设计截水沟，用于拦截雨水，出口设置</w:t>
            </w:r>
            <w:r>
              <w:rPr>
                <w:rFonts w:hint="default" w:ascii="Times New Roman" w:hAnsi="Times New Roman" w:eastAsia="宋体" w:cs="Times New Roman"/>
                <w:color w:val="000000"/>
                <w:sz w:val="24"/>
                <w:szCs w:val="24"/>
                <w:lang w:val="en-US" w:eastAsia="zh-CN"/>
              </w:rPr>
              <w:t>沉砂</w:t>
            </w:r>
            <w:r>
              <w:rPr>
                <w:rFonts w:hint="default" w:ascii="Times New Roman" w:hAnsi="Times New Roman" w:eastAsia="宋体" w:cs="Times New Roman"/>
                <w:color w:val="000000"/>
                <w:sz w:val="24"/>
                <w:szCs w:val="24"/>
              </w:rPr>
              <w:t>池；平台及宕底设计排水沟措施、植被回覆措施；</w:t>
            </w:r>
            <w:r>
              <w:rPr>
                <w:rFonts w:hint="default" w:ascii="Times New Roman" w:hAnsi="Times New Roman" w:eastAsia="宋体" w:cs="Times New Roman"/>
                <w:color w:val="000000"/>
                <w:sz w:val="24"/>
                <w:szCs w:val="24"/>
                <w:lang w:val="en-US" w:eastAsia="zh-CN"/>
              </w:rPr>
              <w:t>实施边开采边复绿</w:t>
            </w:r>
            <w:r>
              <w:rPr>
                <w:rFonts w:hint="default" w:ascii="Times New Roman" w:hAnsi="Times New Roman" w:eastAsia="宋体" w:cs="Times New Roman"/>
                <w:color w:val="000000"/>
                <w:sz w:val="24"/>
                <w:szCs w:val="24"/>
              </w:rPr>
              <w:t>的绿化措施。</w:t>
            </w:r>
          </w:p>
          <w:p w14:paraId="367861FD">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textAlignment w:val="auto"/>
              <w:rPr>
                <w:rFonts w:hint="default" w:ascii="Times New Roman" w:hAnsi="Times New Roman" w:eastAsia="宋体" w:cs="Times New Roman"/>
                <w:b/>
                <w:bCs/>
                <w:color w:val="000000"/>
                <w:sz w:val="24"/>
                <w:szCs w:val="24"/>
              </w:rPr>
            </w:pPr>
            <w:r>
              <w:rPr>
                <w:rFonts w:hint="eastAsia" w:cs="Times New Roman"/>
                <w:b/>
                <w:bCs/>
                <w:color w:val="000000"/>
                <w:sz w:val="24"/>
                <w:szCs w:val="24"/>
                <w:lang w:val="en-US" w:eastAsia="zh-CN"/>
              </w:rPr>
              <w:t>1）</w:t>
            </w:r>
            <w:r>
              <w:rPr>
                <w:rFonts w:hint="default" w:ascii="Times New Roman" w:hAnsi="Times New Roman" w:eastAsia="宋体" w:cs="Times New Roman"/>
                <w:b/>
                <w:bCs/>
                <w:color w:val="000000"/>
                <w:sz w:val="24"/>
                <w:szCs w:val="24"/>
              </w:rPr>
              <w:t>工程措施</w:t>
            </w:r>
          </w:p>
          <w:p w14:paraId="4A923C2D">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textAlignment w:val="auto"/>
              <w:rPr>
                <w:rFonts w:hint="default" w:ascii="Times New Roman" w:hAnsi="Times New Roman" w:eastAsia="宋体" w:cs="Times New Roman"/>
                <w:color w:val="000000"/>
                <w:sz w:val="24"/>
                <w:szCs w:val="24"/>
              </w:rPr>
            </w:pPr>
            <w:r>
              <w:rPr>
                <w:rFonts w:hint="eastAsia" w:cs="Times New Roman"/>
                <w:b/>
                <w:bCs/>
                <w:color w:val="000000"/>
                <w:sz w:val="24"/>
                <w:szCs w:val="24"/>
                <w:lang w:val="en-US" w:eastAsia="zh-CN"/>
              </w:rPr>
              <w:t>a.</w:t>
            </w:r>
            <w:r>
              <w:rPr>
                <w:rFonts w:hint="default" w:ascii="Times New Roman" w:hAnsi="Times New Roman" w:eastAsia="宋体" w:cs="Times New Roman"/>
                <w:b/>
                <w:bCs/>
                <w:color w:val="000000"/>
                <w:sz w:val="24"/>
                <w:szCs w:val="24"/>
              </w:rPr>
              <w:t>截排水沟</w:t>
            </w:r>
          </w:p>
          <w:p w14:paraId="0390BE5D">
            <w:pPr>
              <w:pStyle w:val="4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截排水沟采用矩形断面，按照0.6×0.6m的规格修建。截排水沟采取全沟道衬砌，采用Mu40新鲜块石、块石可就地取材，M10水泥砂浆砌筑护壁，截排水沟沟底厚0.3m，侧壁为0.3m，壁顶及内壁用1：3水泥砂浆抹面防渗，抹面厚度为2cm。沟内采用平头对接形式，沉降缝缝宽3cm，缝中设沥青杉木板止水，迎水面用沥表填缝，沉降缝之间间距为15m。排水沟结构设计见下图。</w:t>
            </w:r>
          </w:p>
          <w:p w14:paraId="32E69504">
            <w:pPr>
              <w:pStyle w:val="25"/>
              <w:keepNext w:val="0"/>
              <w:keepLines w:val="0"/>
              <w:pageBreakBefore w:val="0"/>
              <w:kinsoku/>
              <w:wordWrap/>
              <w:overflowPunct/>
              <w:topLinePunct w:val="0"/>
              <w:autoSpaceDE/>
              <w:autoSpaceDN/>
              <w:bidi w:val="0"/>
              <w:spacing w:before="0" w:beforeLines="0" w:line="360" w:lineRule="auto"/>
              <w:ind w:firstLine="0" w:firstLineChars="0"/>
              <w:jc w:val="center"/>
              <w:textAlignment w:val="auto"/>
              <w:rPr>
                <w:rFonts w:ascii="Times New Roman" w:hAnsi="Times New Roman"/>
                <w:color w:val="auto"/>
              </w:rPr>
            </w:pPr>
            <w:r>
              <w:rPr>
                <w:rFonts w:ascii="Times New Roman" w:hAnsi="Times New Roman"/>
                <w:color w:val="auto"/>
              </w:rPr>
              <w:drawing>
                <wp:inline distT="0" distB="0" distL="114300" distR="114300">
                  <wp:extent cx="2520315" cy="1895475"/>
                  <wp:effectExtent l="0" t="0" r="13335" b="9525"/>
                  <wp:docPr id="10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1"/>
                          <pic:cNvPicPr>
                            <a:picLocks noChangeAspect="1"/>
                          </pic:cNvPicPr>
                        </pic:nvPicPr>
                        <pic:blipFill>
                          <a:blip r:embed="rId33"/>
                          <a:stretch>
                            <a:fillRect/>
                          </a:stretch>
                        </pic:blipFill>
                        <pic:spPr>
                          <a:xfrm>
                            <a:off x="0" y="0"/>
                            <a:ext cx="2520315" cy="1895475"/>
                          </a:xfrm>
                          <a:prstGeom prst="rect">
                            <a:avLst/>
                          </a:prstGeom>
                          <a:noFill/>
                          <a:ln>
                            <a:noFill/>
                          </a:ln>
                        </pic:spPr>
                      </pic:pic>
                    </a:graphicData>
                  </a:graphic>
                </wp:inline>
              </w:drawing>
            </w:r>
          </w:p>
          <w:p w14:paraId="25492275">
            <w:pPr>
              <w:keepNext w:val="0"/>
              <w:keepLines w:val="0"/>
              <w:pageBreakBefore w:val="0"/>
              <w:widowControl w:val="0"/>
              <w:suppressLineNumbers w:val="0"/>
              <w:kinsoku/>
              <w:wordWrap/>
              <w:overflowPunct/>
              <w:topLinePunct w:val="0"/>
              <w:autoSpaceDE/>
              <w:autoSpaceDN/>
              <w:bidi w:val="0"/>
              <w:adjustRightInd/>
              <w:snapToGrid w:val="0"/>
              <w:spacing w:after="157" w:afterLines="50" w:line="240" w:lineRule="auto"/>
              <w:jc w:val="center"/>
              <w:textAlignment w:val="auto"/>
              <w:rPr>
                <w:rFonts w:hint="default" w:ascii="Times New Roman" w:hAnsi="Times New Roman" w:cs="Times New Roman"/>
              </w:rPr>
            </w:pPr>
            <w:r>
              <w:rPr>
                <w:b/>
                <w:color w:val="auto"/>
                <w:sz w:val="24"/>
                <w:szCs w:val="24"/>
              </w:rPr>
              <w:t>图</w:t>
            </w:r>
            <w:r>
              <w:rPr>
                <w:rFonts w:hint="eastAsia"/>
                <w:b/>
                <w:color w:val="auto"/>
                <w:sz w:val="24"/>
                <w:szCs w:val="24"/>
                <w:lang w:val="en-US" w:eastAsia="zh-CN"/>
              </w:rPr>
              <w:t>4-9</w:t>
            </w:r>
            <w:r>
              <w:rPr>
                <w:b/>
                <w:color w:val="auto"/>
                <w:sz w:val="24"/>
                <w:szCs w:val="24"/>
              </w:rPr>
              <w:t xml:space="preserve">  设计截排水沟断面图</w:t>
            </w:r>
          </w:p>
          <w:p w14:paraId="249AC0A7">
            <w:pPr>
              <w:keepNext w:val="0"/>
              <w:keepLines w:val="0"/>
              <w:pageBreakBefore w:val="0"/>
              <w:widowControl w:val="0"/>
              <w:kinsoku/>
              <w:wordWrap/>
              <w:overflowPunct/>
              <w:topLinePunct w:val="0"/>
              <w:autoSpaceDE/>
              <w:autoSpaceDN/>
              <w:bidi w:val="0"/>
              <w:adjustRightInd/>
              <w:snapToGrid/>
              <w:spacing w:before="0" w:beforeLines="50" w:line="360" w:lineRule="auto"/>
              <w:ind w:firstLine="482" w:firstLineChars="200"/>
              <w:contextualSpacing/>
              <w:textAlignment w:val="auto"/>
              <w:rPr>
                <w:rFonts w:hint="default" w:ascii="Times New Roman" w:hAnsi="Times New Roman" w:eastAsia="宋体" w:cs="Times New Roman"/>
                <w:b/>
                <w:bCs/>
                <w:color w:val="000000"/>
                <w:sz w:val="24"/>
                <w:szCs w:val="24"/>
              </w:rPr>
            </w:pPr>
            <w:r>
              <w:rPr>
                <w:rFonts w:hint="eastAsia" w:cs="Times New Roman"/>
                <w:b/>
                <w:bCs/>
                <w:color w:val="000000"/>
                <w:sz w:val="24"/>
                <w:szCs w:val="24"/>
                <w:lang w:val="en-US" w:eastAsia="zh-CN"/>
              </w:rPr>
              <w:t>b.</w:t>
            </w:r>
            <w:r>
              <w:rPr>
                <w:rFonts w:hint="default" w:ascii="Times New Roman" w:hAnsi="Times New Roman" w:eastAsia="宋体" w:cs="Times New Roman"/>
                <w:b/>
                <w:bCs/>
                <w:color w:val="000000"/>
                <w:sz w:val="24"/>
                <w:szCs w:val="24"/>
                <w:lang w:val="en-US" w:eastAsia="zh-CN"/>
              </w:rPr>
              <w:t>沉砂</w:t>
            </w:r>
            <w:r>
              <w:rPr>
                <w:rFonts w:hint="default" w:ascii="Times New Roman" w:hAnsi="Times New Roman" w:eastAsia="宋体" w:cs="Times New Roman"/>
                <w:b/>
                <w:bCs/>
                <w:color w:val="000000"/>
                <w:sz w:val="24"/>
                <w:szCs w:val="24"/>
              </w:rPr>
              <w:t>池</w:t>
            </w:r>
          </w:p>
          <w:p w14:paraId="177000DC">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rPr>
              <w:t>在排水沟汇水及出口设置沉砂池，</w:t>
            </w:r>
            <w:r>
              <w:rPr>
                <w:rFonts w:hint="default" w:ascii="Times New Roman" w:hAnsi="Times New Roman" w:eastAsia="宋体" w:cs="Times New Roman"/>
                <w:color w:val="000000"/>
                <w:sz w:val="24"/>
                <w:szCs w:val="24"/>
                <w:lang w:eastAsia="zh-CN"/>
              </w:rPr>
              <w:t>沉砂池</w:t>
            </w:r>
            <w:r>
              <w:rPr>
                <w:rFonts w:hint="default" w:ascii="Times New Roman" w:hAnsi="Times New Roman" w:eastAsia="宋体" w:cs="Times New Roman"/>
                <w:color w:val="000000"/>
                <w:sz w:val="24"/>
                <w:szCs w:val="24"/>
              </w:rPr>
              <w:t>为浆砌石</w:t>
            </w:r>
            <w:r>
              <w:rPr>
                <w:rFonts w:hint="default" w:ascii="Times New Roman" w:hAnsi="Times New Roman" w:eastAsia="宋体" w:cs="Times New Roman"/>
                <w:color w:val="000000"/>
                <w:sz w:val="24"/>
                <w:szCs w:val="24"/>
                <w:lang w:eastAsia="zh-CN"/>
              </w:rPr>
              <w:t>沉砂池</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沉砂池</w:t>
            </w:r>
            <w:r>
              <w:rPr>
                <w:rFonts w:hint="default" w:ascii="Times New Roman" w:hAnsi="Times New Roman" w:eastAsia="宋体" w:cs="Times New Roman"/>
                <w:color w:val="000000"/>
                <w:sz w:val="24"/>
                <w:szCs w:val="24"/>
              </w:rPr>
              <w:t>与排水沟配套使用。</w:t>
            </w:r>
            <w:r>
              <w:rPr>
                <w:rFonts w:hint="default" w:ascii="Times New Roman" w:hAnsi="Times New Roman" w:eastAsia="宋体" w:cs="Times New Roman"/>
                <w:color w:val="000000"/>
                <w:sz w:val="24"/>
                <w:szCs w:val="24"/>
                <w:lang w:val="en-US" w:eastAsia="zh-CN"/>
              </w:rPr>
              <w:t>后期将根据实际开采进度、工程量、地形建设相应的沉砂池。</w:t>
            </w:r>
          </w:p>
          <w:p w14:paraId="60C1ABE7">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textAlignment w:val="auto"/>
              <w:rPr>
                <w:rFonts w:hint="default" w:ascii="Times New Roman" w:hAnsi="Times New Roman" w:eastAsia="宋体" w:cs="Times New Roman"/>
                <w:b/>
                <w:bCs/>
                <w:color w:val="000000"/>
                <w:sz w:val="24"/>
                <w:szCs w:val="24"/>
              </w:rPr>
            </w:pPr>
            <w:r>
              <w:rPr>
                <w:rFonts w:hint="eastAsia" w:cs="Times New Roman"/>
                <w:b/>
                <w:bCs/>
                <w:color w:val="000000"/>
                <w:sz w:val="24"/>
                <w:szCs w:val="24"/>
                <w:lang w:val="en-US" w:eastAsia="zh-CN"/>
              </w:rPr>
              <w:t>c.</w:t>
            </w:r>
            <w:r>
              <w:rPr>
                <w:rFonts w:hint="default" w:ascii="Times New Roman" w:hAnsi="Times New Roman" w:eastAsia="宋体" w:cs="Times New Roman"/>
                <w:b/>
                <w:bCs/>
                <w:color w:val="000000"/>
                <w:sz w:val="24"/>
                <w:szCs w:val="24"/>
              </w:rPr>
              <w:t>土地平整</w:t>
            </w:r>
          </w:p>
          <w:p w14:paraId="237E89AA">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采矿结束后进行土地平整，为植被恢复提供良好条件。</w:t>
            </w:r>
          </w:p>
          <w:p w14:paraId="5B4F445C">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textAlignment w:val="auto"/>
              <w:rPr>
                <w:rFonts w:hint="default" w:ascii="Times New Roman" w:hAnsi="Times New Roman" w:eastAsia="宋体" w:cs="Times New Roman"/>
                <w:b/>
                <w:bCs/>
                <w:color w:val="000000"/>
                <w:sz w:val="24"/>
                <w:szCs w:val="24"/>
              </w:rPr>
            </w:pPr>
            <w:r>
              <w:rPr>
                <w:rFonts w:hint="eastAsia" w:cs="Times New Roman"/>
                <w:b/>
                <w:bCs/>
                <w:color w:val="000000"/>
                <w:sz w:val="24"/>
                <w:szCs w:val="24"/>
                <w:lang w:val="en-US" w:eastAsia="zh-CN"/>
              </w:rPr>
              <w:t>2</w:t>
            </w:r>
            <w:r>
              <w:rPr>
                <w:rFonts w:hint="default" w:ascii="Times New Roman" w:hAnsi="Times New Roman" w:eastAsia="宋体" w:cs="Times New Roman"/>
                <w:b/>
                <w:bCs/>
                <w:color w:val="000000"/>
                <w:sz w:val="24"/>
                <w:szCs w:val="24"/>
                <w:lang w:eastAsia="zh-CN"/>
              </w:rPr>
              <w:t>）</w:t>
            </w:r>
            <w:r>
              <w:rPr>
                <w:rFonts w:hint="default" w:ascii="Times New Roman" w:hAnsi="Times New Roman" w:eastAsia="宋体" w:cs="Times New Roman"/>
                <w:b/>
                <w:bCs/>
                <w:color w:val="000000"/>
                <w:sz w:val="24"/>
                <w:szCs w:val="24"/>
              </w:rPr>
              <w:t>植物措施</w:t>
            </w:r>
          </w:p>
          <w:p w14:paraId="6C1F9937">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textAlignment w:val="auto"/>
              <w:rPr>
                <w:rFonts w:hint="default" w:ascii="Times New Roman" w:hAnsi="Times New Roman" w:eastAsia="宋体" w:cs="Times New Roman"/>
                <w:b/>
                <w:bCs/>
                <w:color w:val="000000"/>
                <w:sz w:val="24"/>
                <w:szCs w:val="24"/>
              </w:rPr>
            </w:pPr>
            <w:r>
              <w:rPr>
                <w:rFonts w:hint="eastAsia" w:cs="Times New Roman"/>
                <w:b/>
                <w:bCs/>
                <w:color w:val="000000"/>
                <w:sz w:val="24"/>
                <w:szCs w:val="24"/>
                <w:lang w:val="en-US" w:eastAsia="zh-CN"/>
              </w:rPr>
              <w:t>a.</w:t>
            </w:r>
            <w:r>
              <w:rPr>
                <w:rFonts w:hint="default" w:ascii="Times New Roman" w:hAnsi="Times New Roman" w:eastAsia="宋体" w:cs="Times New Roman"/>
                <w:b/>
                <w:bCs/>
                <w:color w:val="000000"/>
                <w:sz w:val="24"/>
                <w:szCs w:val="24"/>
              </w:rPr>
              <w:t>平台和宕底复绿</w:t>
            </w:r>
          </w:p>
          <w:p w14:paraId="0DBA90F5">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后期</w:t>
            </w:r>
            <w:r>
              <w:rPr>
                <w:rFonts w:hint="default" w:ascii="Times New Roman" w:hAnsi="Times New Roman" w:eastAsia="宋体" w:cs="Times New Roman"/>
                <w:color w:val="000000"/>
                <w:sz w:val="24"/>
                <w:szCs w:val="24"/>
              </w:rPr>
              <w:t>平台种植槽中间栽植灌木，种植槽内撒播草籽。宕底平台在拆除设施、整平基础上覆盖一层种植土，间隔种植乔木，撒播草籽于其空隙处。</w:t>
            </w:r>
          </w:p>
          <w:p w14:paraId="40D3ED1E">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textAlignment w:val="auto"/>
              <w:rPr>
                <w:rFonts w:hint="default" w:ascii="Times New Roman" w:hAnsi="Times New Roman" w:eastAsia="宋体" w:cs="Times New Roman"/>
                <w:b/>
                <w:bCs/>
                <w:color w:val="000000"/>
                <w:sz w:val="24"/>
                <w:szCs w:val="24"/>
              </w:rPr>
            </w:pPr>
            <w:r>
              <w:rPr>
                <w:rFonts w:hint="eastAsia" w:cs="Times New Roman"/>
                <w:b/>
                <w:bCs/>
                <w:color w:val="000000"/>
                <w:sz w:val="24"/>
                <w:szCs w:val="24"/>
                <w:lang w:val="en-US" w:eastAsia="zh-CN"/>
              </w:rPr>
              <w:t>b.</w:t>
            </w:r>
            <w:r>
              <w:rPr>
                <w:rFonts w:hint="default" w:ascii="Times New Roman" w:hAnsi="Times New Roman" w:eastAsia="宋体" w:cs="Times New Roman"/>
                <w:b/>
                <w:bCs/>
                <w:color w:val="000000"/>
                <w:sz w:val="24"/>
                <w:szCs w:val="24"/>
              </w:rPr>
              <w:t>边坡绿化</w:t>
            </w:r>
          </w:p>
          <w:p w14:paraId="43DDE8D9">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本项目裸露边坡</w:t>
            </w:r>
            <w:r>
              <w:rPr>
                <w:rFonts w:hint="default" w:ascii="Times New Roman" w:hAnsi="Times New Roman" w:eastAsia="宋体" w:cs="Times New Roman"/>
                <w:color w:val="000000"/>
                <w:sz w:val="24"/>
                <w:szCs w:val="24"/>
                <w:lang w:val="en-US" w:eastAsia="zh-CN"/>
              </w:rPr>
              <w:t>将逐步</w:t>
            </w:r>
            <w:r>
              <w:rPr>
                <w:rFonts w:hint="default" w:ascii="Times New Roman" w:hAnsi="Times New Roman" w:eastAsia="宋体" w:cs="Times New Roman"/>
                <w:color w:val="000000"/>
                <w:sz w:val="24"/>
                <w:szCs w:val="24"/>
              </w:rPr>
              <w:t>进行高次团粒挂网喷播绿化。</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6"/>
            </w:tblGrid>
            <w:tr w14:paraId="54BF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4" w:hRule="atLeast"/>
                <w:jc w:val="center"/>
              </w:trPr>
              <w:tc>
                <w:tcPr>
                  <w:tcW w:w="5940" w:type="dxa"/>
                  <w:noWrap w:val="0"/>
                  <w:vAlign w:val="center"/>
                </w:tcPr>
                <w:p w14:paraId="277D63C3">
                  <w:pPr>
                    <w:pStyle w:val="2"/>
                    <w:keepNext/>
                    <w:keepLines/>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drawing>
                      <wp:inline distT="0" distB="0" distL="114300" distR="114300">
                        <wp:extent cx="4088765" cy="2250440"/>
                        <wp:effectExtent l="0" t="0" r="6985" b="3810"/>
                        <wp:docPr id="9" name="图片 9" descr="IMG_20240522_10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522_103553"/>
                                <pic:cNvPicPr>
                                  <a:picLocks noChangeAspect="1"/>
                                </pic:cNvPicPr>
                              </pic:nvPicPr>
                              <pic:blipFill>
                                <a:blip r:embed="rId34"/>
                                <a:srcRect r="18230"/>
                                <a:stretch>
                                  <a:fillRect/>
                                </a:stretch>
                              </pic:blipFill>
                              <pic:spPr>
                                <a:xfrm>
                                  <a:off x="0" y="0"/>
                                  <a:ext cx="4088765" cy="2250440"/>
                                </a:xfrm>
                                <a:prstGeom prst="rect">
                                  <a:avLst/>
                                </a:prstGeom>
                              </pic:spPr>
                            </pic:pic>
                          </a:graphicData>
                        </a:graphic>
                      </wp:inline>
                    </w:drawing>
                  </w:r>
                </w:p>
              </w:tc>
            </w:tr>
          </w:tbl>
          <w:p w14:paraId="607A9E33">
            <w:pPr>
              <w:pStyle w:val="2"/>
              <w:keepNext/>
              <w:keepLines/>
              <w:pageBreakBefore w:val="0"/>
              <w:widowControl w:val="0"/>
              <w:kinsoku/>
              <w:wordWrap/>
              <w:overflowPunct/>
              <w:topLinePunct w:val="0"/>
              <w:autoSpaceDE w:val="0"/>
              <w:autoSpaceDN w:val="0"/>
              <w:bidi w:val="0"/>
              <w:adjustRightInd/>
              <w:snapToGrid/>
              <w:spacing w:before="0" w:after="0" w:afterLines="50" w:line="240" w:lineRule="auto"/>
              <w:jc w:val="center"/>
              <w:textAlignment w:val="auto"/>
              <w:rPr>
                <w:rFonts w:hint="default" w:ascii="Times New Roman" w:hAnsi="Times New Roman" w:eastAsia="宋体" w:cs="Times New Roman"/>
                <w:b/>
                <w:bCs/>
                <w:color w:val="000000"/>
                <w:sz w:val="24"/>
                <w:szCs w:val="24"/>
                <w:lang w:val="en-US"/>
              </w:rPr>
            </w:pPr>
            <w:r>
              <w:rPr>
                <w:rFonts w:hint="default" w:ascii="Times New Roman" w:hAnsi="Times New Roman" w:eastAsia="宋体" w:cs="Times New Roman"/>
                <w:b/>
                <w:bCs/>
                <w:color w:val="auto"/>
                <w:sz w:val="24"/>
                <w:szCs w:val="22"/>
                <w:vertAlign w:val="baseline"/>
                <w:lang w:val="en-US" w:eastAsia="zh-CN" w:bidi="zh-CN"/>
              </w:rPr>
              <w:t>图</w:t>
            </w:r>
            <w:r>
              <w:rPr>
                <w:rFonts w:hint="eastAsia" w:ascii="Times New Roman" w:hAnsi="Times New Roman" w:cs="Times New Roman"/>
                <w:b/>
                <w:bCs/>
                <w:color w:val="auto"/>
                <w:sz w:val="24"/>
                <w:szCs w:val="22"/>
                <w:vertAlign w:val="baseline"/>
                <w:lang w:val="en-US" w:eastAsia="zh-CN" w:bidi="zh-CN"/>
              </w:rPr>
              <w:t>4-10</w:t>
            </w:r>
            <w:r>
              <w:rPr>
                <w:rFonts w:hint="default" w:ascii="Times New Roman" w:hAnsi="Times New Roman" w:eastAsia="宋体" w:cs="Times New Roman"/>
                <w:b/>
                <w:bCs/>
                <w:color w:val="auto"/>
                <w:sz w:val="24"/>
                <w:szCs w:val="22"/>
                <w:vertAlign w:val="baseline"/>
                <w:lang w:val="en-US" w:eastAsia="zh-CN" w:bidi="zh-CN"/>
              </w:rPr>
              <w:t xml:space="preserve">  项目矿区边坡复绿图</w:t>
            </w:r>
          </w:p>
          <w:p w14:paraId="7A2A3598">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c.</w:t>
            </w:r>
            <w:r>
              <w:rPr>
                <w:rFonts w:hint="default" w:ascii="Times New Roman" w:hAnsi="Times New Roman" w:eastAsia="宋体" w:cs="Times New Roman"/>
                <w:b/>
                <w:bCs/>
                <w:color w:val="auto"/>
                <w:sz w:val="24"/>
                <w:szCs w:val="24"/>
              </w:rPr>
              <w:t>临时措施</w:t>
            </w:r>
          </w:p>
          <w:p w14:paraId="4BDDE2E9">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采场区施工期间，矿石开采容易对开采平台外侧边坡造成影响，需采取临时防护措施。</w:t>
            </w:r>
            <w:r>
              <w:rPr>
                <w:rFonts w:hint="default" w:ascii="Times New Roman" w:hAnsi="Times New Roman" w:eastAsia="宋体" w:cs="Times New Roman"/>
                <w:color w:val="auto"/>
                <w:sz w:val="24"/>
                <w:szCs w:val="24"/>
                <w:lang w:val="en-US" w:eastAsia="zh-CN"/>
              </w:rPr>
              <w:t>主要</w:t>
            </w:r>
            <w:r>
              <w:rPr>
                <w:rFonts w:hint="default" w:ascii="Times New Roman" w:hAnsi="Times New Roman" w:eastAsia="宋体" w:cs="Times New Roman"/>
                <w:color w:val="auto"/>
                <w:sz w:val="24"/>
                <w:szCs w:val="24"/>
              </w:rPr>
              <w:t>在开采平台外围周边设置拦渣栅栏进行临时拦挡。</w:t>
            </w:r>
          </w:p>
          <w:p w14:paraId="189DDF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contextualSpacing/>
              <w:textAlignment w:val="auto"/>
              <w:rPr>
                <w:rFonts w:hint="default" w:ascii="Times New Roman" w:hAnsi="Times New Roman" w:eastAsia="宋体" w:cs="Times New Roman"/>
                <w:b/>
                <w:bCs/>
                <w:color w:val="000000"/>
                <w:sz w:val="24"/>
                <w:szCs w:val="24"/>
              </w:rPr>
            </w:pPr>
            <w:r>
              <w:rPr>
                <w:rFonts w:hint="default" w:ascii="Calibri" w:hAnsi="Calibri" w:cs="Calibri"/>
                <w:b/>
                <w:bCs/>
                <w:color w:val="000000"/>
                <w:sz w:val="24"/>
                <w:szCs w:val="24"/>
                <w:lang w:val="en-US" w:eastAsia="zh-CN"/>
              </w:rPr>
              <w:t>①</w:t>
            </w:r>
            <w:r>
              <w:rPr>
                <w:rFonts w:hint="default" w:ascii="Times New Roman" w:hAnsi="Times New Roman" w:eastAsia="宋体" w:cs="Times New Roman"/>
                <w:b/>
                <w:bCs/>
                <w:color w:val="000000"/>
                <w:sz w:val="24"/>
                <w:szCs w:val="24"/>
              </w:rPr>
              <w:t>办公生活区</w:t>
            </w:r>
          </w:p>
          <w:p w14:paraId="1E1F2869">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主体工程设计在开采结束后，对办公生活区进行清理，拆除建筑物后，清除办公场地硬化及建筑垃圾。新增土地平整、硬化层清除后覆土绿化措施。</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6"/>
            </w:tblGrid>
            <w:tr w14:paraId="410B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2" w:hRule="atLeast"/>
                <w:jc w:val="center"/>
              </w:trPr>
              <w:tc>
                <w:tcPr>
                  <w:tcW w:w="5260" w:type="dxa"/>
                  <w:noWrap w:val="0"/>
                  <w:vAlign w:val="center"/>
                </w:tcPr>
                <w:p w14:paraId="6F38DD9C">
                  <w:pPr>
                    <w:pStyle w:val="2"/>
                    <w:keepNext/>
                    <w:keepLines/>
                    <w:pageBreakBefore w:val="0"/>
                    <w:widowControl w:val="0"/>
                    <w:kinsoku/>
                    <w:wordWrap/>
                    <w:overflowPunct/>
                    <w:topLinePunct w:val="0"/>
                    <w:autoSpaceDE w:val="0"/>
                    <w:autoSpaceDN w:val="0"/>
                    <w:bidi w:val="0"/>
                    <w:adjustRightInd w:val="0"/>
                    <w:snapToGrid w:val="0"/>
                    <w:spacing w:before="0" w:after="0" w:line="240" w:lineRule="auto"/>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4208780" cy="2348230"/>
                        <wp:effectExtent l="0" t="0" r="13970" b="1270"/>
                        <wp:docPr id="10" name="图片 10" descr="IMG_20240522_09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0522_091714"/>
                                <pic:cNvPicPr>
                                  <a:picLocks noChangeAspect="1"/>
                                </pic:cNvPicPr>
                              </pic:nvPicPr>
                              <pic:blipFill>
                                <a:blip r:embed="rId19"/>
                                <a:srcRect l="19351"/>
                                <a:stretch>
                                  <a:fillRect/>
                                </a:stretch>
                              </pic:blipFill>
                              <pic:spPr>
                                <a:xfrm>
                                  <a:off x="0" y="0"/>
                                  <a:ext cx="4208780" cy="2348230"/>
                                </a:xfrm>
                                <a:prstGeom prst="rect">
                                  <a:avLst/>
                                </a:prstGeom>
                              </pic:spPr>
                            </pic:pic>
                          </a:graphicData>
                        </a:graphic>
                      </wp:inline>
                    </w:drawing>
                  </w:r>
                </w:p>
              </w:tc>
            </w:tr>
          </w:tbl>
          <w:p w14:paraId="42D0EF0D">
            <w:pPr>
              <w:pStyle w:val="2"/>
              <w:spacing w:before="0" w:after="0" w:afterLines="50" w:line="240" w:lineRule="auto"/>
              <w:jc w:val="center"/>
              <w:rPr>
                <w:rFonts w:hint="default"/>
              </w:rPr>
            </w:pPr>
            <w:r>
              <w:rPr>
                <w:rFonts w:hint="default" w:ascii="Times New Roman" w:hAnsi="Times New Roman" w:eastAsia="宋体" w:cs="Times New Roman"/>
                <w:b/>
                <w:bCs/>
                <w:color w:val="auto"/>
                <w:sz w:val="24"/>
                <w:szCs w:val="22"/>
                <w:vertAlign w:val="baseline"/>
                <w:lang w:val="en-US" w:eastAsia="zh-CN" w:bidi="zh-CN"/>
              </w:rPr>
              <w:t>图4-</w:t>
            </w:r>
            <w:r>
              <w:rPr>
                <w:rFonts w:hint="eastAsia" w:ascii="Times New Roman" w:hAnsi="Times New Roman" w:eastAsia="宋体" w:cs="Times New Roman"/>
                <w:b/>
                <w:bCs/>
                <w:color w:val="auto"/>
                <w:sz w:val="24"/>
                <w:szCs w:val="22"/>
                <w:vertAlign w:val="baseline"/>
                <w:lang w:val="en-US" w:eastAsia="zh-CN" w:bidi="zh-CN"/>
              </w:rPr>
              <w:t>1</w:t>
            </w:r>
            <w:r>
              <w:rPr>
                <w:rFonts w:hint="eastAsia" w:ascii="Times New Roman" w:hAnsi="Times New Roman" w:cs="Times New Roman"/>
                <w:b/>
                <w:bCs/>
                <w:color w:val="auto"/>
                <w:sz w:val="24"/>
                <w:szCs w:val="22"/>
                <w:vertAlign w:val="baseline"/>
                <w:lang w:val="en-US" w:eastAsia="zh-CN" w:bidi="zh-CN"/>
              </w:rPr>
              <w:t>1</w:t>
            </w:r>
            <w:r>
              <w:rPr>
                <w:rFonts w:hint="default" w:ascii="Times New Roman" w:hAnsi="Times New Roman" w:eastAsia="宋体" w:cs="Times New Roman"/>
                <w:b/>
                <w:bCs/>
                <w:color w:val="auto"/>
                <w:sz w:val="24"/>
                <w:szCs w:val="22"/>
                <w:vertAlign w:val="baseline"/>
                <w:lang w:val="en-US" w:eastAsia="zh-CN" w:bidi="zh-CN"/>
              </w:rPr>
              <w:t xml:space="preserve">  项目办公生活区</w:t>
            </w:r>
          </w:p>
          <w:p w14:paraId="26A0783A">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b w:val="0"/>
                <w:bCs w:val="0"/>
                <w:color w:val="000000"/>
                <w:sz w:val="24"/>
                <w:szCs w:val="24"/>
              </w:rPr>
            </w:pPr>
            <w:r>
              <w:rPr>
                <w:rFonts w:hint="eastAsia" w:cs="Times New Roman"/>
                <w:b w:val="0"/>
                <w:bCs w:val="0"/>
                <w:color w:val="000000"/>
                <w:sz w:val="24"/>
                <w:szCs w:val="24"/>
                <w:lang w:val="en-US" w:eastAsia="zh-CN"/>
              </w:rPr>
              <w:t>1</w:t>
            </w:r>
            <w:r>
              <w:rPr>
                <w:rFonts w:hint="default" w:ascii="Times New Roman" w:hAnsi="Times New Roman" w:eastAsia="宋体" w:cs="Times New Roman"/>
                <w:b w:val="0"/>
                <w:bCs w:val="0"/>
                <w:color w:val="000000"/>
                <w:sz w:val="24"/>
                <w:szCs w:val="24"/>
              </w:rPr>
              <w:t>）工程措施</w:t>
            </w:r>
          </w:p>
          <w:p w14:paraId="314CF8C3">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该区域主体工程</w:t>
            </w:r>
            <w:r>
              <w:rPr>
                <w:rFonts w:hint="default" w:ascii="Times New Roman" w:hAnsi="Times New Roman" w:eastAsia="宋体" w:cs="Times New Roman"/>
                <w:color w:val="000000"/>
                <w:sz w:val="24"/>
                <w:szCs w:val="24"/>
                <w:lang w:val="en-US" w:eastAsia="zh-CN"/>
              </w:rPr>
              <w:t>设置</w:t>
            </w:r>
            <w:r>
              <w:rPr>
                <w:rFonts w:hint="default" w:ascii="Times New Roman" w:hAnsi="Times New Roman" w:eastAsia="宋体" w:cs="Times New Roman"/>
                <w:color w:val="000000"/>
                <w:sz w:val="24"/>
                <w:szCs w:val="24"/>
              </w:rPr>
              <w:t>场地内部及周边的截排水沟措施，施工结束后，工程占地将进行植物恢复，采取植物措施前需要进行土地平整，为植被恢复提供良好条件</w:t>
            </w:r>
            <w:r>
              <w:rPr>
                <w:rFonts w:hint="default" w:ascii="Times New Roman" w:hAnsi="Times New Roman" w:eastAsia="宋体" w:cs="Times New Roman"/>
                <w:color w:val="000000"/>
                <w:sz w:val="24"/>
                <w:szCs w:val="24"/>
                <w:lang w:eastAsia="zh-CN"/>
              </w:rPr>
              <w:t>。</w:t>
            </w:r>
          </w:p>
          <w:p w14:paraId="04B9E281">
            <w:pPr>
              <w:pStyle w:val="2"/>
              <w:keepNext/>
              <w:keepLines/>
              <w:autoSpaceDE w:val="0"/>
              <w:autoSpaceDN w:val="0"/>
              <w:spacing w:before="0" w:after="0" w:afterLines="50" w:line="240" w:lineRule="auto"/>
              <w:ind w:firstLine="480" w:firstLineChars="200"/>
              <w:jc w:val="both"/>
              <w:rPr>
                <w:rFonts w:hint="default"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2</w:t>
            </w:r>
            <w:r>
              <w:rPr>
                <w:rFonts w:hint="default" w:ascii="Times New Roman" w:hAnsi="Times New Roman" w:eastAsia="宋体" w:cs="Times New Roman"/>
                <w:b w:val="0"/>
                <w:bCs w:val="0"/>
                <w:color w:val="000000"/>
                <w:kern w:val="2"/>
                <w:sz w:val="24"/>
                <w:szCs w:val="24"/>
                <w:lang w:val="en-US" w:eastAsia="zh-CN" w:bidi="ar-SA"/>
              </w:rPr>
              <w:t>）植物措施</w:t>
            </w:r>
          </w:p>
          <w:p w14:paraId="1B91F836">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根据该区域占地情况，对施工占地中可恢复植被的区域</w:t>
            </w:r>
            <w:r>
              <w:rPr>
                <w:rFonts w:hint="default" w:ascii="Times New Roman" w:hAnsi="Times New Roman" w:eastAsia="宋体" w:cs="Times New Roman"/>
                <w:color w:val="000000"/>
                <w:sz w:val="24"/>
                <w:szCs w:val="24"/>
                <w:lang w:val="en-US" w:eastAsia="zh-CN"/>
              </w:rPr>
              <w:t>逐步</w:t>
            </w:r>
            <w:r>
              <w:rPr>
                <w:rFonts w:hint="default" w:ascii="Times New Roman" w:hAnsi="Times New Roman" w:eastAsia="宋体" w:cs="Times New Roman"/>
                <w:color w:val="000000"/>
                <w:sz w:val="24"/>
                <w:szCs w:val="24"/>
              </w:rPr>
              <w:t>采取植物措施进行绿化。</w:t>
            </w:r>
          </w:p>
          <w:p w14:paraId="6B2AB9CB">
            <w:pPr>
              <w:pStyle w:val="2"/>
              <w:keepNext/>
              <w:keepLines/>
              <w:autoSpaceDE w:val="0"/>
              <w:autoSpaceDN w:val="0"/>
              <w:spacing w:before="0" w:after="0" w:afterLines="50" w:line="240" w:lineRule="auto"/>
              <w:ind w:firstLine="480" w:firstLineChars="200"/>
              <w:jc w:val="both"/>
              <w:rPr>
                <w:rFonts w:hint="default"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3</w:t>
            </w:r>
            <w:r>
              <w:rPr>
                <w:rFonts w:hint="default" w:ascii="Times New Roman" w:hAnsi="Times New Roman" w:eastAsia="宋体" w:cs="Times New Roman"/>
                <w:b w:val="0"/>
                <w:bCs w:val="0"/>
                <w:color w:val="000000"/>
                <w:kern w:val="2"/>
                <w:sz w:val="24"/>
                <w:szCs w:val="24"/>
                <w:lang w:val="en-US" w:eastAsia="zh-CN" w:bidi="ar-SA"/>
              </w:rPr>
              <w:t>）临时措施</w:t>
            </w:r>
          </w:p>
          <w:p w14:paraId="684B2286">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eastAsia" w:cs="Times New Roman"/>
                <w:color w:val="000000"/>
                <w:sz w:val="24"/>
                <w:szCs w:val="24"/>
                <w:lang w:val="en-US" w:eastAsia="zh-CN"/>
              </w:rPr>
              <w:t>a.</w:t>
            </w:r>
            <w:r>
              <w:rPr>
                <w:rFonts w:hint="default" w:ascii="Times New Roman" w:hAnsi="Times New Roman" w:eastAsia="宋体" w:cs="Times New Roman"/>
                <w:color w:val="000000"/>
                <w:sz w:val="24"/>
                <w:szCs w:val="24"/>
              </w:rPr>
              <w:t>临时排水、沉沙</w:t>
            </w:r>
          </w:p>
          <w:p w14:paraId="79D3AA21">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场地平整过程中，沿永久排水沟线位开挖临时排水沟，排水沟末端接</w:t>
            </w:r>
            <w:r>
              <w:rPr>
                <w:rFonts w:hint="default" w:ascii="Times New Roman" w:hAnsi="Times New Roman" w:eastAsia="宋体" w:cs="Times New Roman"/>
                <w:color w:val="000000"/>
                <w:sz w:val="24"/>
                <w:szCs w:val="24"/>
                <w:lang w:eastAsia="zh-CN"/>
              </w:rPr>
              <w:t>沉砂池</w:t>
            </w:r>
            <w:r>
              <w:rPr>
                <w:rFonts w:hint="default" w:ascii="Times New Roman" w:hAnsi="Times New Roman" w:eastAsia="宋体" w:cs="Times New Roman"/>
                <w:color w:val="000000"/>
                <w:sz w:val="24"/>
                <w:szCs w:val="24"/>
              </w:rPr>
              <w:t>。排水沟采用梯形断面，内壁拍实即可，</w:t>
            </w:r>
            <w:r>
              <w:rPr>
                <w:rFonts w:hint="default" w:ascii="Times New Roman" w:hAnsi="Times New Roman" w:eastAsia="宋体" w:cs="Times New Roman"/>
                <w:color w:val="000000"/>
                <w:sz w:val="24"/>
                <w:szCs w:val="24"/>
                <w:lang w:eastAsia="zh-CN"/>
              </w:rPr>
              <w:t>沉砂池</w:t>
            </w:r>
            <w:r>
              <w:rPr>
                <w:rFonts w:hint="default" w:ascii="Times New Roman" w:hAnsi="Times New Roman" w:eastAsia="宋体" w:cs="Times New Roman"/>
                <w:color w:val="000000"/>
                <w:sz w:val="24"/>
                <w:szCs w:val="24"/>
              </w:rPr>
              <w:t>采用矩形浆砌石结构。</w:t>
            </w:r>
          </w:p>
          <w:p w14:paraId="3C2A1109">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eastAsia" w:cs="Times New Roman"/>
                <w:color w:val="000000"/>
                <w:sz w:val="24"/>
                <w:szCs w:val="24"/>
                <w:lang w:val="en-US" w:eastAsia="zh-CN"/>
              </w:rPr>
              <w:t>b.</w:t>
            </w:r>
            <w:r>
              <w:rPr>
                <w:rFonts w:hint="default" w:ascii="Times New Roman" w:hAnsi="Times New Roman" w:eastAsia="宋体" w:cs="Times New Roman"/>
                <w:color w:val="000000"/>
                <w:sz w:val="24"/>
                <w:szCs w:val="24"/>
              </w:rPr>
              <w:t>临时苫盖</w:t>
            </w:r>
          </w:p>
          <w:p w14:paraId="0D80BA8A">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施工过程中，对于开挖边坡及裸露地面采用密目网进行临时苫盖，防止水土流失。</w:t>
            </w:r>
          </w:p>
          <w:p w14:paraId="242ACE4C">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cs="Times New Roman"/>
                <w:b w:val="0"/>
                <w:bCs w:val="0"/>
                <w:color w:val="000000"/>
                <w:sz w:val="24"/>
                <w:szCs w:val="24"/>
                <w:lang w:val="en-US" w:eastAsia="zh-CN"/>
              </w:rPr>
            </w:pPr>
            <w:r>
              <w:rPr>
                <w:rFonts w:hint="eastAsia" w:cs="Times New Roman"/>
                <w:b w:val="0"/>
                <w:bCs w:val="0"/>
                <w:color w:val="000000"/>
                <w:sz w:val="24"/>
                <w:szCs w:val="24"/>
                <w:lang w:val="en-US" w:eastAsia="zh-CN"/>
              </w:rPr>
              <w:t>2）</w:t>
            </w:r>
            <w:r>
              <w:rPr>
                <w:rFonts w:hint="default" w:cs="Times New Roman"/>
                <w:b w:val="0"/>
                <w:bCs w:val="0"/>
                <w:color w:val="000000"/>
                <w:sz w:val="24"/>
                <w:szCs w:val="24"/>
                <w:lang w:val="en-US" w:eastAsia="zh-CN"/>
              </w:rPr>
              <w:t>复垦措施</w:t>
            </w:r>
          </w:p>
          <w:p w14:paraId="1551CD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rPr>
            </w:pPr>
            <w:r>
              <w:rPr>
                <w:rFonts w:hint="eastAsia" w:cs="Times New Roman"/>
                <w:b w:val="0"/>
                <w:bCs w:val="0"/>
                <w:color w:val="auto"/>
                <w:sz w:val="24"/>
                <w:szCs w:val="24"/>
                <w:lang w:val="en-US" w:eastAsia="zh-CN"/>
              </w:rPr>
              <w:t>a.</w:t>
            </w:r>
            <w:r>
              <w:rPr>
                <w:rFonts w:hint="default" w:ascii="Times New Roman" w:hAnsi="Times New Roman" w:cs="Times New Roman"/>
                <w:b w:val="0"/>
                <w:bCs w:val="0"/>
                <w:color w:val="auto"/>
                <w:sz w:val="24"/>
                <w:szCs w:val="24"/>
              </w:rPr>
              <w:t>工程技术措施</w:t>
            </w:r>
          </w:p>
          <w:p w14:paraId="3F1AD3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fldChar w:fldCharType="begin"/>
            </w:r>
            <w:r>
              <w:rPr>
                <w:rFonts w:hint="eastAsia" w:cs="Times New Roman"/>
                <w:color w:val="auto"/>
                <w:sz w:val="24"/>
                <w:szCs w:val="24"/>
                <w:lang w:val="en-US" w:eastAsia="zh-CN"/>
              </w:rPr>
              <w:instrText xml:space="preserve"> = 1 \* ROMAN \* MERGEFORMAT </w:instrText>
            </w:r>
            <w:r>
              <w:rPr>
                <w:rFonts w:hint="eastAsia" w:cs="Times New Roman"/>
                <w:color w:val="auto"/>
                <w:sz w:val="24"/>
                <w:szCs w:val="24"/>
                <w:lang w:val="en-US" w:eastAsia="zh-CN"/>
              </w:rPr>
              <w:fldChar w:fldCharType="separate"/>
            </w:r>
            <w:r>
              <w:t>I</w:t>
            </w:r>
            <w:r>
              <w:rPr>
                <w:rFonts w:hint="eastAsia" w:cs="Times New Roman"/>
                <w:color w:val="auto"/>
                <w:sz w:val="24"/>
                <w:szCs w:val="24"/>
                <w:lang w:val="en-US" w:eastAsia="zh-CN"/>
              </w:rPr>
              <w:fldChar w:fldCharType="end"/>
            </w:r>
            <w:r>
              <w:rPr>
                <w:rFonts w:hint="eastAsia" w:cs="Times New Roman"/>
                <w:color w:val="auto"/>
                <w:sz w:val="24"/>
                <w:szCs w:val="24"/>
                <w:lang w:val="en-US" w:eastAsia="zh-CN"/>
              </w:rPr>
              <w:t>.</w:t>
            </w:r>
            <w:r>
              <w:rPr>
                <w:rFonts w:hint="default" w:ascii="Times New Roman" w:hAnsi="Times New Roman" w:cs="Times New Roman"/>
                <w:color w:val="auto"/>
                <w:sz w:val="24"/>
                <w:szCs w:val="24"/>
              </w:rPr>
              <w:t>清理工程措施</w:t>
            </w:r>
          </w:p>
          <w:p w14:paraId="6B8F7E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矿山闭坑后，将遗留废弃建筑物，地面有一定厚度的固化物，</w:t>
            </w:r>
            <w:r>
              <w:rPr>
                <w:rFonts w:hint="default" w:ascii="Times New Roman" w:hAnsi="Times New Roman" w:cs="Times New Roman"/>
                <w:color w:val="auto"/>
                <w:sz w:val="24"/>
                <w:szCs w:val="24"/>
                <w:lang w:val="en-US" w:eastAsia="zh-CN"/>
              </w:rPr>
              <w:t>将</w:t>
            </w:r>
            <w:r>
              <w:rPr>
                <w:rFonts w:hint="default" w:ascii="Times New Roman" w:hAnsi="Times New Roman" w:cs="Times New Roman"/>
                <w:color w:val="auto"/>
                <w:sz w:val="24"/>
                <w:szCs w:val="24"/>
              </w:rPr>
              <w:t>对地表建筑物或固化物进行拆除、清理，保证场地平整，以便于其他复垦措施的实施。</w:t>
            </w:r>
          </w:p>
          <w:p w14:paraId="50974C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fldChar w:fldCharType="begin"/>
            </w:r>
            <w:r>
              <w:rPr>
                <w:rFonts w:hint="eastAsia" w:cs="Times New Roman"/>
                <w:color w:val="auto"/>
                <w:sz w:val="24"/>
                <w:szCs w:val="24"/>
                <w:lang w:val="en-US" w:eastAsia="zh-CN"/>
              </w:rPr>
              <w:instrText xml:space="preserve"> = 2 \* ROMAN \* MERGEFORMAT </w:instrText>
            </w:r>
            <w:r>
              <w:rPr>
                <w:rFonts w:hint="eastAsia" w:cs="Times New Roman"/>
                <w:color w:val="auto"/>
                <w:sz w:val="24"/>
                <w:szCs w:val="24"/>
                <w:lang w:val="en-US" w:eastAsia="zh-CN"/>
              </w:rPr>
              <w:fldChar w:fldCharType="separate"/>
            </w:r>
            <w:r>
              <w:t>II</w:t>
            </w:r>
            <w:r>
              <w:rPr>
                <w:rFonts w:hint="eastAsia" w:cs="Times New Roman"/>
                <w:color w:val="auto"/>
                <w:sz w:val="24"/>
                <w:szCs w:val="24"/>
                <w:lang w:val="en-US" w:eastAsia="zh-CN"/>
              </w:rPr>
              <w:fldChar w:fldCharType="end"/>
            </w:r>
            <w:r>
              <w:rPr>
                <w:rFonts w:hint="eastAsia" w:cs="Times New Roman"/>
                <w:color w:val="auto"/>
                <w:sz w:val="24"/>
                <w:szCs w:val="24"/>
                <w:lang w:val="en-US" w:eastAsia="zh-CN"/>
              </w:rPr>
              <w:t>.</w:t>
            </w:r>
            <w:r>
              <w:rPr>
                <w:rFonts w:hint="default" w:ascii="Times New Roman" w:hAnsi="Times New Roman" w:cs="Times New Roman"/>
                <w:color w:val="auto"/>
                <w:sz w:val="24"/>
                <w:szCs w:val="24"/>
              </w:rPr>
              <w:t>土地平整工程</w:t>
            </w:r>
          </w:p>
          <w:p w14:paraId="5B4D85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土地平整的目的是通过平整土地，削高填低，达到植被种植的要求。通过土地平整、改善灌溉排水条件，达到提高土地利用质量的基本目的。土地平整</w:t>
            </w:r>
            <w:r>
              <w:rPr>
                <w:rFonts w:hint="default" w:ascii="Times New Roman" w:hAnsi="Times New Roman" w:cs="Times New Roman"/>
                <w:color w:val="auto"/>
                <w:sz w:val="24"/>
                <w:szCs w:val="24"/>
                <w:lang w:val="en-US" w:eastAsia="zh-CN"/>
              </w:rPr>
              <w:t>将</w:t>
            </w:r>
            <w:r>
              <w:rPr>
                <w:rFonts w:hint="default" w:ascii="Times New Roman" w:hAnsi="Times New Roman" w:cs="Times New Roman"/>
                <w:color w:val="auto"/>
                <w:sz w:val="24"/>
                <w:szCs w:val="24"/>
              </w:rPr>
              <w:t>根据项目区地形特点、土地利用方向、灌溉以及防治水土流失等要求，进行土地平整工程设计。</w:t>
            </w:r>
          </w:p>
          <w:p w14:paraId="6A37F3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rPr>
            </w:pPr>
            <w:r>
              <w:rPr>
                <w:rFonts w:hint="eastAsia" w:cs="Times New Roman"/>
                <w:b w:val="0"/>
                <w:bCs w:val="0"/>
                <w:color w:val="auto"/>
                <w:sz w:val="24"/>
                <w:szCs w:val="24"/>
                <w:lang w:val="en-US" w:eastAsia="zh-CN"/>
              </w:rPr>
              <w:t>b.</w:t>
            </w:r>
            <w:r>
              <w:rPr>
                <w:rFonts w:hint="default" w:ascii="Times New Roman" w:hAnsi="Times New Roman" w:cs="Times New Roman"/>
                <w:b w:val="0"/>
                <w:bCs w:val="0"/>
                <w:color w:val="auto"/>
                <w:sz w:val="24"/>
                <w:szCs w:val="24"/>
              </w:rPr>
              <w:t>生物和化学措施</w:t>
            </w:r>
          </w:p>
          <w:p w14:paraId="036AD0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物复垦是利用生物措施，恢复土壤肥力与生物生产能力的活动，它是实现土地复垦的关键环节，是在土地复垦利用类型、土壤、当地气候和水文等的前提下进行的，在新恢复的土地上选种适宜植物，形成景观好、稳定性高和具有经济价值的植被。</w:t>
            </w:r>
          </w:p>
          <w:p w14:paraId="4164FD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于矿区开采将使原地面植物遭到一定程度的损毁，在土壤贫瘠区域依靠自然恢复较困难，所以要快速恢复植被，首先是筛选先锋植物，同时要筛选适宜的适生植物以重建人工生态系统。根据矿区植被重建的主要任务，以及生态重建的目标，同时结合本项目的特殊自然条件，选定植物要具有下列特性：</w:t>
            </w:r>
          </w:p>
          <w:p w14:paraId="7FC9A1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①具有较强的适应脆弱环境和抗逆境的能力，即对于干旱、风害、冻害、瘠薄、盐碱等不良立地因子具有较强的忍耐能力，同时对粉尘污染、烧伤、病虫害等不良因子具有一定的抵抗能力；</w:t>
            </w:r>
          </w:p>
          <w:p w14:paraId="162675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②生活力强，有固氮能力，能形成稳定的植被群落；</w:t>
            </w:r>
          </w:p>
          <w:p w14:paraId="506CD3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③根系发达，有较高的生长速度，能形成网状根固持土壤。地上部分生长迅速，枝叶茂盛，能尽快和尽可能长的时间覆盖地面，有效阻止风蚀，同时，能较快形成松软的枯枝落叶层，提高土壤的保水保肥能力；</w:t>
            </w:r>
          </w:p>
          <w:p w14:paraId="2C8666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4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④</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播种栽培较容易，成活率高，种源丰富，育苗方法简易，若采用播种则要求种子发芽力强，繁殖量大，苗期抗逆性强，易成活；</w:t>
            </w:r>
          </w:p>
          <w:p w14:paraId="17B06C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bidi="zh-CN"/>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5 \* GB3 \* MERGEFORMAT </w:instrText>
            </w:r>
            <w:r>
              <w:rPr>
                <w:rFonts w:hint="default" w:ascii="Times New Roman" w:hAnsi="Times New Roman" w:cs="Times New Roman"/>
                <w:color w:val="auto"/>
                <w:sz w:val="24"/>
                <w:szCs w:val="24"/>
              </w:rPr>
              <w:fldChar w:fldCharType="separate"/>
            </w:r>
            <w:r>
              <w:t>⑤</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具有优良的水土保持作用的植物种属，能减少地表径流、涵养水源、阻挡泥沙流失和固持土壤。</w:t>
            </w:r>
          </w:p>
          <w:p w14:paraId="07F41EFC">
            <w:pPr>
              <w:pStyle w:val="23"/>
              <w:spacing w:line="360" w:lineRule="auto"/>
              <w:jc w:val="both"/>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（二）</w:t>
            </w:r>
            <w:r>
              <w:rPr>
                <w:rFonts w:hint="default" w:ascii="Times New Roman" w:hAnsi="Times New Roman" w:eastAsia="宋体" w:cs="Times New Roman"/>
                <w:b/>
                <w:bCs/>
                <w:sz w:val="24"/>
                <w:szCs w:val="24"/>
                <w:lang w:val="en-US" w:eastAsia="zh-CN"/>
              </w:rPr>
              <w:t>污染物排放及环境保护措施</w:t>
            </w:r>
          </w:p>
          <w:p w14:paraId="3E984ABD">
            <w:pPr>
              <w:pStyle w:val="23"/>
              <w:spacing w:line="360" w:lineRule="auto"/>
              <w:ind w:firstLine="480" w:firstLineChars="200"/>
              <w:jc w:val="both"/>
              <w:rPr>
                <w:rFonts w:hint="default" w:ascii="Times New Roman" w:hAnsi="Times New Roman" w:eastAsia="宋体" w:cs="Times New Roman"/>
                <w:sz w:val="24"/>
                <w:lang w:val="en-US" w:eastAsia="zh-CN"/>
              </w:rPr>
            </w:pPr>
            <w:r>
              <w:rPr>
                <w:rFonts w:hint="eastAsia" w:cs="Times New Roman"/>
                <w:sz w:val="24"/>
                <w:szCs w:val="24"/>
                <w:lang w:val="en-US" w:eastAsia="zh-CN"/>
              </w:rPr>
              <w:t>1、</w:t>
            </w:r>
            <w:r>
              <w:rPr>
                <w:rFonts w:hint="default" w:ascii="Times New Roman" w:hAnsi="Times New Roman" w:eastAsia="宋体" w:cs="Times New Roman"/>
                <w:sz w:val="24"/>
                <w:szCs w:val="24"/>
              </w:rPr>
              <w:t>项目施工期的</w:t>
            </w:r>
            <w:r>
              <w:rPr>
                <w:rFonts w:hint="default" w:ascii="Times New Roman" w:hAnsi="Times New Roman" w:eastAsia="宋体" w:cs="Times New Roman"/>
                <w:sz w:val="24"/>
                <w:szCs w:val="24"/>
                <w:lang w:val="en-US" w:eastAsia="zh-CN"/>
              </w:rPr>
              <w:t>污染物排放及环境保护措施</w:t>
            </w:r>
          </w:p>
          <w:p w14:paraId="34E808D3">
            <w:pPr>
              <w:numPr>
                <w:ilvl w:val="0"/>
                <w:numId w:val="0"/>
              </w:numPr>
              <w:tabs>
                <w:tab w:val="left" w:pos="1680"/>
                <w:tab w:val="left" w:pos="8607"/>
              </w:tabs>
              <w:snapToGrid w:val="0"/>
              <w:spacing w:line="360" w:lineRule="auto"/>
              <w:ind w:left="480" w:leftChars="0"/>
              <w:jc w:val="both"/>
              <w:rPr>
                <w:rFonts w:hint="default" w:ascii="Times New Roman" w:hAnsi="Times New Roman" w:eastAsia="宋体" w:cs="Times New Roman"/>
                <w:sz w:val="24"/>
                <w:szCs w:val="24"/>
                <w:lang w:val="en-US" w:eastAsia="zh-CN" w:bidi="zh-CN"/>
              </w:rPr>
            </w:pPr>
            <w:r>
              <w:rPr>
                <w:rFonts w:hint="eastAsia" w:cs="Times New Roman"/>
                <w:sz w:val="24"/>
                <w:szCs w:val="24"/>
                <w:lang w:val="en-US" w:eastAsia="zh-CN" w:bidi="zh-CN"/>
              </w:rPr>
              <w:t>（1）</w:t>
            </w:r>
            <w:r>
              <w:rPr>
                <w:rFonts w:hint="default" w:ascii="Times New Roman" w:hAnsi="Times New Roman" w:eastAsia="宋体" w:cs="Times New Roman"/>
                <w:sz w:val="24"/>
                <w:szCs w:val="24"/>
                <w:lang w:val="en-US" w:eastAsia="zh-CN" w:bidi="zh-CN"/>
              </w:rPr>
              <w:t>废气</w:t>
            </w:r>
          </w:p>
          <w:p w14:paraId="06A28506">
            <w:pPr>
              <w:tabs>
                <w:tab w:val="left" w:pos="1680"/>
                <w:tab w:val="left" w:pos="8607"/>
              </w:tabs>
              <w:snapToGrid w:val="0"/>
              <w:spacing w:line="360" w:lineRule="auto"/>
              <w:ind w:firstLine="470" w:firstLineChars="196"/>
              <w:jc w:val="both"/>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en-US" w:eastAsia="zh-CN" w:bidi="zh-CN"/>
              </w:rPr>
              <w:t>施工期废气主要为施工扬尘，产生扬尘的作业主要有土地平整、开挖、回填、道路浇注、建材运输、露天堆放、装卸和搅拌等过程</w:t>
            </w:r>
            <w:r>
              <w:rPr>
                <w:rFonts w:hint="default" w:ascii="Times New Roman" w:hAnsi="Times New Roman" w:eastAsia="宋体" w:cs="Times New Roman"/>
                <w:sz w:val="24"/>
                <w:szCs w:val="24"/>
                <w:lang w:val="zh-CN" w:eastAsia="zh-CN" w:bidi="zh-CN"/>
              </w:rPr>
              <w:t>。</w:t>
            </w:r>
          </w:p>
          <w:p w14:paraId="147FE581">
            <w:pPr>
              <w:tabs>
                <w:tab w:val="left" w:pos="1680"/>
                <w:tab w:val="left" w:pos="8607"/>
              </w:tabs>
              <w:snapToGrid w:val="0"/>
              <w:spacing w:line="360" w:lineRule="auto"/>
              <w:ind w:firstLine="470" w:firstLineChars="196"/>
              <w:jc w:val="both"/>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采取的措施主要包括：</w:t>
            </w:r>
          </w:p>
          <w:p w14:paraId="7AC527B2">
            <w:pPr>
              <w:tabs>
                <w:tab w:val="left" w:pos="1680"/>
                <w:tab w:val="left" w:pos="8607"/>
              </w:tabs>
              <w:snapToGrid w:val="0"/>
              <w:spacing w:line="360" w:lineRule="auto"/>
              <w:ind w:firstLine="470" w:firstLineChars="196"/>
              <w:jc w:val="both"/>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①施工工地内生活区、办公区、作业区加工场、材料堆场地面、车行道路进行洒水防尘处理。</w:t>
            </w:r>
          </w:p>
          <w:p w14:paraId="1745E0CC">
            <w:pPr>
              <w:tabs>
                <w:tab w:val="left" w:pos="1680"/>
                <w:tab w:val="left" w:pos="8607"/>
              </w:tabs>
              <w:snapToGrid w:val="0"/>
              <w:spacing w:line="360" w:lineRule="auto"/>
              <w:ind w:firstLine="470" w:firstLineChars="196"/>
              <w:jc w:val="both"/>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②气象预报风力达到5级以上的天气，不得进行土方挖填和转运、房屋或者其他建（构）筑物拆除等作业。</w:t>
            </w:r>
          </w:p>
          <w:p w14:paraId="02B28F87">
            <w:pPr>
              <w:tabs>
                <w:tab w:val="left" w:pos="1680"/>
                <w:tab w:val="left" w:pos="8607"/>
              </w:tabs>
              <w:snapToGrid w:val="0"/>
              <w:spacing w:line="360" w:lineRule="auto"/>
              <w:ind w:firstLine="470" w:firstLineChars="196"/>
              <w:jc w:val="both"/>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③建筑垃圾等无法在48小时内清运完毕的，在施工工地内设置临时堆放场；临时堆放场采取围挡、遮盖等防尘措施。</w:t>
            </w:r>
          </w:p>
          <w:p w14:paraId="50911EF5">
            <w:pPr>
              <w:tabs>
                <w:tab w:val="left" w:pos="1680"/>
                <w:tab w:val="left" w:pos="8607"/>
              </w:tabs>
              <w:snapToGrid w:val="0"/>
              <w:spacing w:line="360" w:lineRule="auto"/>
              <w:ind w:firstLine="470" w:firstLineChars="196"/>
              <w:jc w:val="both"/>
              <w:rPr>
                <w:rFonts w:hint="default" w:ascii="Times New Roman" w:hAnsi="Times New Roman" w:eastAsia="宋体" w:cs="Times New Roman"/>
                <w:sz w:val="24"/>
                <w:szCs w:val="24"/>
                <w:lang w:val="en-US" w:eastAsia="zh-CN" w:bidi="zh-CN"/>
              </w:rPr>
            </w:pPr>
            <w:r>
              <w:rPr>
                <w:rFonts w:hint="eastAsia" w:ascii="Times New Roman" w:hAnsi="Times New Roman" w:eastAsia="宋体" w:cs="Times New Roman"/>
                <w:sz w:val="24"/>
                <w:szCs w:val="24"/>
                <w:lang w:val="en-US" w:eastAsia="zh-CN" w:bidi="zh-CN"/>
              </w:rPr>
              <w:fldChar w:fldCharType="begin"/>
            </w:r>
            <w:r>
              <w:rPr>
                <w:rFonts w:hint="eastAsia" w:ascii="Times New Roman" w:hAnsi="Times New Roman" w:eastAsia="宋体" w:cs="Times New Roman"/>
                <w:sz w:val="24"/>
                <w:szCs w:val="24"/>
                <w:lang w:val="en-US" w:eastAsia="zh-CN" w:bidi="zh-CN"/>
              </w:rPr>
              <w:instrText xml:space="preserve"> = 4 \* GB3 \* MERGEFORMAT </w:instrText>
            </w:r>
            <w:r>
              <w:rPr>
                <w:rFonts w:hint="eastAsia" w:ascii="Times New Roman" w:hAnsi="Times New Roman" w:eastAsia="宋体" w:cs="Times New Roman"/>
                <w:sz w:val="24"/>
                <w:szCs w:val="24"/>
                <w:lang w:val="en-US" w:eastAsia="zh-CN" w:bidi="zh-CN"/>
              </w:rPr>
              <w:fldChar w:fldCharType="separate"/>
            </w:r>
            <w:r>
              <w:t>④</w:t>
            </w:r>
            <w:r>
              <w:rPr>
                <w:rFonts w:hint="eastAsia" w:ascii="Times New Roman" w:hAnsi="Times New Roman" w:eastAsia="宋体" w:cs="Times New Roman"/>
                <w:sz w:val="24"/>
                <w:szCs w:val="24"/>
                <w:lang w:val="en-US" w:eastAsia="zh-CN" w:bidi="zh-CN"/>
              </w:rPr>
              <w:fldChar w:fldCharType="end"/>
            </w:r>
            <w:r>
              <w:rPr>
                <w:rFonts w:hint="default" w:ascii="Times New Roman" w:hAnsi="Times New Roman" w:eastAsia="宋体" w:cs="Times New Roman"/>
                <w:sz w:val="24"/>
                <w:szCs w:val="24"/>
                <w:lang w:val="en-US" w:eastAsia="zh-CN" w:bidi="zh-CN"/>
              </w:rPr>
              <w:t>设置洗车槽对车辆轮胎进行清洗。</w:t>
            </w:r>
          </w:p>
          <w:p w14:paraId="37E2E0A8">
            <w:pPr>
              <w:tabs>
                <w:tab w:val="left" w:pos="1680"/>
                <w:tab w:val="left" w:pos="8607"/>
              </w:tabs>
              <w:snapToGrid w:val="0"/>
              <w:spacing w:line="360" w:lineRule="auto"/>
              <w:ind w:firstLine="470" w:firstLineChars="196"/>
              <w:jc w:val="both"/>
              <w:rPr>
                <w:rFonts w:hint="default" w:ascii="Times New Roman" w:hAnsi="Times New Roman" w:eastAsia="宋体" w:cs="Times New Roman"/>
                <w:sz w:val="24"/>
                <w:szCs w:val="24"/>
                <w:lang w:val="en-US" w:eastAsia="zh-CN" w:bidi="zh-CN"/>
              </w:rPr>
            </w:pPr>
            <w:r>
              <w:rPr>
                <w:rFonts w:hint="eastAsia" w:ascii="Times New Roman" w:hAnsi="Times New Roman" w:eastAsia="宋体" w:cs="Times New Roman"/>
                <w:sz w:val="24"/>
                <w:szCs w:val="24"/>
                <w:lang w:val="en-US" w:eastAsia="zh-CN" w:bidi="zh-CN"/>
              </w:rPr>
              <w:fldChar w:fldCharType="begin"/>
            </w:r>
            <w:r>
              <w:rPr>
                <w:rFonts w:hint="eastAsia" w:ascii="Times New Roman" w:hAnsi="Times New Roman" w:eastAsia="宋体" w:cs="Times New Roman"/>
                <w:sz w:val="24"/>
                <w:szCs w:val="24"/>
                <w:lang w:val="en-US" w:eastAsia="zh-CN" w:bidi="zh-CN"/>
              </w:rPr>
              <w:instrText xml:space="preserve"> = 5 \* GB3 \* MERGEFORMAT </w:instrText>
            </w:r>
            <w:r>
              <w:rPr>
                <w:rFonts w:hint="eastAsia" w:ascii="Times New Roman" w:hAnsi="Times New Roman" w:eastAsia="宋体" w:cs="Times New Roman"/>
                <w:sz w:val="24"/>
                <w:szCs w:val="24"/>
                <w:lang w:val="en-US" w:eastAsia="zh-CN" w:bidi="zh-CN"/>
              </w:rPr>
              <w:fldChar w:fldCharType="separate"/>
            </w:r>
            <w:r>
              <w:t>⑤</w:t>
            </w:r>
            <w:r>
              <w:rPr>
                <w:rFonts w:hint="eastAsia" w:ascii="Times New Roman" w:hAnsi="Times New Roman" w:eastAsia="宋体" w:cs="Times New Roman"/>
                <w:sz w:val="24"/>
                <w:szCs w:val="24"/>
                <w:lang w:val="en-US" w:eastAsia="zh-CN" w:bidi="zh-CN"/>
              </w:rPr>
              <w:fldChar w:fldCharType="end"/>
            </w:r>
            <w:r>
              <w:rPr>
                <w:rFonts w:hint="default" w:ascii="Times New Roman" w:hAnsi="Times New Roman" w:eastAsia="宋体" w:cs="Times New Roman"/>
                <w:sz w:val="24"/>
                <w:szCs w:val="24"/>
                <w:lang w:val="en-US" w:eastAsia="zh-CN" w:bidi="zh-CN"/>
              </w:rPr>
              <w:t>运送散装物料的车辆用篷布遮盖，防止物料飞扬。对运送砂石、土料的车辆，限制超载，不得沿途撒漏。</w:t>
            </w:r>
          </w:p>
          <w:p w14:paraId="609217F9">
            <w:pPr>
              <w:tabs>
                <w:tab w:val="left" w:pos="1680"/>
                <w:tab w:val="left" w:pos="8607"/>
              </w:tabs>
              <w:snapToGrid w:val="0"/>
              <w:spacing w:line="360" w:lineRule="auto"/>
              <w:ind w:firstLine="470" w:firstLineChars="196"/>
              <w:jc w:val="both"/>
              <w:rPr>
                <w:rFonts w:hint="default" w:ascii="Times New Roman" w:hAnsi="Times New Roman" w:eastAsia="宋体" w:cs="Times New Roman"/>
                <w:sz w:val="24"/>
                <w:szCs w:val="24"/>
                <w:lang w:val="en-US" w:eastAsia="zh-CN" w:bidi="zh-CN"/>
              </w:rPr>
            </w:pPr>
            <w:r>
              <w:rPr>
                <w:rFonts w:hint="eastAsia" w:ascii="Times New Roman" w:hAnsi="Times New Roman" w:eastAsia="宋体" w:cs="Times New Roman"/>
                <w:sz w:val="24"/>
                <w:szCs w:val="24"/>
                <w:lang w:val="en-US" w:eastAsia="zh-CN" w:bidi="zh-CN"/>
              </w:rPr>
              <w:fldChar w:fldCharType="begin"/>
            </w:r>
            <w:r>
              <w:rPr>
                <w:rFonts w:hint="eastAsia" w:ascii="Times New Roman" w:hAnsi="Times New Roman" w:eastAsia="宋体" w:cs="Times New Roman"/>
                <w:sz w:val="24"/>
                <w:szCs w:val="24"/>
                <w:lang w:val="en-US" w:eastAsia="zh-CN" w:bidi="zh-CN"/>
              </w:rPr>
              <w:instrText xml:space="preserve"> = 6 \* GB3 \* MERGEFORMAT </w:instrText>
            </w:r>
            <w:r>
              <w:rPr>
                <w:rFonts w:hint="eastAsia" w:ascii="Times New Roman" w:hAnsi="Times New Roman" w:eastAsia="宋体" w:cs="Times New Roman"/>
                <w:sz w:val="24"/>
                <w:szCs w:val="24"/>
                <w:lang w:val="en-US" w:eastAsia="zh-CN" w:bidi="zh-CN"/>
              </w:rPr>
              <w:fldChar w:fldCharType="separate"/>
            </w:r>
            <w:r>
              <w:t>⑥</w:t>
            </w:r>
            <w:r>
              <w:rPr>
                <w:rFonts w:hint="eastAsia" w:ascii="Times New Roman" w:hAnsi="Times New Roman" w:eastAsia="宋体" w:cs="Times New Roman"/>
                <w:sz w:val="24"/>
                <w:szCs w:val="24"/>
                <w:lang w:val="en-US" w:eastAsia="zh-CN" w:bidi="zh-CN"/>
              </w:rPr>
              <w:fldChar w:fldCharType="end"/>
            </w:r>
            <w:r>
              <w:rPr>
                <w:rFonts w:hint="default" w:ascii="Times New Roman" w:hAnsi="Times New Roman" w:eastAsia="宋体" w:cs="Times New Roman"/>
                <w:sz w:val="24"/>
                <w:szCs w:val="24"/>
                <w:lang w:val="en-US" w:eastAsia="zh-CN" w:bidi="zh-CN"/>
              </w:rPr>
              <w:t>施工现场的机械设备、车辆的尾气排放要求符合国家环保排放标准。</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2"/>
              <w:gridCol w:w="4407"/>
            </w:tblGrid>
            <w:tr w14:paraId="1305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0" w:type="dxa"/>
                  <w:noWrap w:val="0"/>
                  <w:vAlign w:val="center"/>
                </w:tcPr>
                <w:p w14:paraId="1C698746">
                  <w:pPr>
                    <w:keepNext w:val="0"/>
                    <w:keepLines w:val="0"/>
                    <w:pageBreakBefore w:val="0"/>
                    <w:widowControl w:val="0"/>
                    <w:tabs>
                      <w:tab w:val="left" w:pos="1680"/>
                      <w:tab w:val="left" w:pos="8607"/>
                    </w:tabs>
                    <w:kinsoku/>
                    <w:wordWrap/>
                    <w:overflowPunct/>
                    <w:topLinePunct w:val="0"/>
                    <w:autoSpaceDE w:val="0"/>
                    <w:autoSpaceDN w:val="0"/>
                    <w:bidi w:val="0"/>
                    <w:adjustRightInd w:val="0"/>
                    <w:snapToGrid w:val="0"/>
                    <w:spacing w:after="0" w:line="240" w:lineRule="auto"/>
                    <w:jc w:val="center"/>
                    <w:textAlignment w:val="auto"/>
                    <w:rPr>
                      <w:rFonts w:hint="default" w:ascii="Times New Roman" w:hAnsi="Times New Roman" w:eastAsia="宋体" w:cs="Times New Roman"/>
                      <w:sz w:val="24"/>
                      <w:vertAlign w:val="baseline"/>
                      <w:lang w:eastAsia="zh-CN"/>
                    </w:rPr>
                  </w:pPr>
                  <w:r>
                    <w:rPr>
                      <w:rFonts w:hint="default" w:ascii="Times New Roman" w:hAnsi="Times New Roman" w:eastAsia="宋体" w:cs="Times New Roman"/>
                      <w:sz w:val="24"/>
                      <w:vertAlign w:val="baseline"/>
                      <w:lang w:eastAsia="zh-CN"/>
                    </w:rPr>
                    <w:drawing>
                      <wp:inline distT="0" distB="0" distL="114300" distR="114300">
                        <wp:extent cx="2865120" cy="1812925"/>
                        <wp:effectExtent l="0" t="0" r="8255" b="12700"/>
                        <wp:docPr id="11" name="图片 11" descr="IMG_20240522_09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522_091700"/>
                                <pic:cNvPicPr>
                                  <a:picLocks noChangeAspect="1"/>
                                </pic:cNvPicPr>
                              </pic:nvPicPr>
                              <pic:blipFill>
                                <a:blip r:embed="rId35"/>
                                <a:srcRect l="18653" r="10189"/>
                                <a:stretch>
                                  <a:fillRect/>
                                </a:stretch>
                              </pic:blipFill>
                              <pic:spPr>
                                <a:xfrm>
                                  <a:off x="0" y="0"/>
                                  <a:ext cx="2865120" cy="1812925"/>
                                </a:xfrm>
                                <a:prstGeom prst="rect">
                                  <a:avLst/>
                                </a:prstGeom>
                              </pic:spPr>
                            </pic:pic>
                          </a:graphicData>
                        </a:graphic>
                      </wp:inline>
                    </w:drawing>
                  </w:r>
                </w:p>
              </w:tc>
              <w:tc>
                <w:tcPr>
                  <w:tcW w:w="4610" w:type="dxa"/>
                  <w:noWrap w:val="0"/>
                  <w:vAlign w:val="center"/>
                </w:tcPr>
                <w:p w14:paraId="244A5A1F">
                  <w:pPr>
                    <w:keepNext w:val="0"/>
                    <w:keepLines w:val="0"/>
                    <w:pageBreakBefore w:val="0"/>
                    <w:widowControl w:val="0"/>
                    <w:tabs>
                      <w:tab w:val="left" w:pos="1680"/>
                      <w:tab w:val="left" w:pos="8607"/>
                    </w:tabs>
                    <w:kinsoku/>
                    <w:wordWrap/>
                    <w:overflowPunct/>
                    <w:topLinePunct w:val="0"/>
                    <w:autoSpaceDE w:val="0"/>
                    <w:autoSpaceDN w:val="0"/>
                    <w:bidi w:val="0"/>
                    <w:adjustRightInd w:val="0"/>
                    <w:snapToGrid w:val="0"/>
                    <w:spacing w:after="0" w:line="240" w:lineRule="auto"/>
                    <w:jc w:val="center"/>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drawing>
                      <wp:inline distT="0" distB="0" distL="114300" distR="114300">
                        <wp:extent cx="2661285" cy="1689100"/>
                        <wp:effectExtent l="0" t="0" r="5715" b="9525"/>
                        <wp:docPr id="13" name="图片 13" descr="IMG_20240522_09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0522_094241"/>
                                <pic:cNvPicPr>
                                  <a:picLocks noChangeAspect="1"/>
                                </pic:cNvPicPr>
                              </pic:nvPicPr>
                              <pic:blipFill>
                                <a:blip r:embed="rId36"/>
                                <a:srcRect l="6085" r="22992"/>
                                <a:stretch>
                                  <a:fillRect/>
                                </a:stretch>
                              </pic:blipFill>
                              <pic:spPr>
                                <a:xfrm>
                                  <a:off x="0" y="0"/>
                                  <a:ext cx="2661285" cy="1689100"/>
                                </a:xfrm>
                                <a:prstGeom prst="rect">
                                  <a:avLst/>
                                </a:prstGeom>
                              </pic:spPr>
                            </pic:pic>
                          </a:graphicData>
                        </a:graphic>
                      </wp:inline>
                    </w:drawing>
                  </w:r>
                </w:p>
              </w:tc>
            </w:tr>
            <w:tr w14:paraId="7292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0" w:type="dxa"/>
                  <w:noWrap w:val="0"/>
                  <w:vAlign w:val="center"/>
                </w:tcPr>
                <w:p w14:paraId="7ED46415">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eastAsia="宋体" w:cs="Times New Roman"/>
                      <w:b/>
                      <w:bCs/>
                      <w:color w:val="auto"/>
                      <w:sz w:val="21"/>
                      <w:szCs w:val="21"/>
                      <w:vertAlign w:val="baseline"/>
                      <w:lang w:val="en-US" w:eastAsia="zh-CN" w:bidi="zh-CN"/>
                    </w:rPr>
                    <w:t>洒水车</w:t>
                  </w:r>
                </w:p>
              </w:tc>
              <w:tc>
                <w:tcPr>
                  <w:tcW w:w="4610" w:type="dxa"/>
                  <w:noWrap w:val="0"/>
                  <w:vAlign w:val="center"/>
                </w:tcPr>
                <w:p w14:paraId="46E0DFD3">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eastAsia="宋体" w:cs="Times New Roman"/>
                      <w:b/>
                      <w:bCs/>
                      <w:color w:val="auto"/>
                      <w:sz w:val="21"/>
                      <w:szCs w:val="21"/>
                      <w:vertAlign w:val="baseline"/>
                      <w:lang w:val="en-US" w:eastAsia="zh-CN" w:bidi="zh-CN"/>
                    </w:rPr>
                    <w:t>洗车槽</w:t>
                  </w:r>
                </w:p>
              </w:tc>
            </w:tr>
            <w:tr w14:paraId="4201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0" w:type="dxa"/>
                  <w:noWrap w:val="0"/>
                  <w:vAlign w:val="center"/>
                </w:tcPr>
                <w:p w14:paraId="227596C6">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eastAsia="宋体" w:cs="Times New Roman"/>
                      <w:b/>
                      <w:bCs/>
                      <w:color w:val="auto"/>
                      <w:sz w:val="21"/>
                      <w:szCs w:val="21"/>
                      <w:vertAlign w:val="baseline"/>
                      <w:lang w:val="en-US" w:eastAsia="zh-CN" w:bidi="zh-CN"/>
                    </w:rPr>
                    <w:drawing>
                      <wp:inline distT="0" distB="0" distL="114300" distR="114300">
                        <wp:extent cx="2896870" cy="1839595"/>
                        <wp:effectExtent l="0" t="0" r="8255" b="1905"/>
                        <wp:docPr id="14" name="图片 14" descr="IMG_20240522_09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522_095953"/>
                                <pic:cNvPicPr>
                                  <a:picLocks noChangeAspect="1"/>
                                </pic:cNvPicPr>
                              </pic:nvPicPr>
                              <pic:blipFill>
                                <a:blip r:embed="rId37"/>
                                <a:srcRect l="11599" r="17517"/>
                                <a:stretch>
                                  <a:fillRect/>
                                </a:stretch>
                              </pic:blipFill>
                              <pic:spPr>
                                <a:xfrm>
                                  <a:off x="0" y="0"/>
                                  <a:ext cx="2896870" cy="1839595"/>
                                </a:xfrm>
                                <a:prstGeom prst="rect">
                                  <a:avLst/>
                                </a:prstGeom>
                              </pic:spPr>
                            </pic:pic>
                          </a:graphicData>
                        </a:graphic>
                      </wp:inline>
                    </w:drawing>
                  </w:r>
                </w:p>
              </w:tc>
              <w:tc>
                <w:tcPr>
                  <w:tcW w:w="4610" w:type="dxa"/>
                  <w:noWrap w:val="0"/>
                  <w:vAlign w:val="center"/>
                </w:tcPr>
                <w:p w14:paraId="4155AFBB">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eastAsia="宋体" w:cs="Times New Roman"/>
                      <w:b/>
                      <w:bCs/>
                      <w:color w:val="auto"/>
                      <w:sz w:val="21"/>
                      <w:szCs w:val="21"/>
                      <w:vertAlign w:val="baseline"/>
                      <w:lang w:val="en-US" w:eastAsia="zh-CN" w:bidi="zh-CN"/>
                    </w:rPr>
                    <w:drawing>
                      <wp:inline distT="0" distB="0" distL="114300" distR="114300">
                        <wp:extent cx="2672715" cy="1934210"/>
                        <wp:effectExtent l="0" t="0" r="0" b="0"/>
                        <wp:docPr id="15" name="图片 15" descr="IMG_20240522_10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522_104930"/>
                                <pic:cNvPicPr>
                                  <a:picLocks noChangeAspect="1"/>
                                </pic:cNvPicPr>
                              </pic:nvPicPr>
                              <pic:blipFill>
                                <a:blip r:embed="rId38"/>
                                <a:srcRect t="29773" b="37663"/>
                                <a:stretch>
                                  <a:fillRect/>
                                </a:stretch>
                              </pic:blipFill>
                              <pic:spPr>
                                <a:xfrm>
                                  <a:off x="0" y="0"/>
                                  <a:ext cx="2672715" cy="1934210"/>
                                </a:xfrm>
                                <a:prstGeom prst="rect">
                                  <a:avLst/>
                                </a:prstGeom>
                              </pic:spPr>
                            </pic:pic>
                          </a:graphicData>
                        </a:graphic>
                      </wp:inline>
                    </w:drawing>
                  </w:r>
                </w:p>
              </w:tc>
            </w:tr>
            <w:tr w14:paraId="120A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0" w:type="dxa"/>
                  <w:noWrap w:val="0"/>
                  <w:vAlign w:val="center"/>
                </w:tcPr>
                <w:p w14:paraId="1972D472">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eastAsia" w:cs="Times New Roman"/>
                      <w:b/>
                      <w:bCs/>
                      <w:color w:val="auto"/>
                      <w:sz w:val="21"/>
                      <w:szCs w:val="21"/>
                      <w:vertAlign w:val="baseline"/>
                      <w:lang w:val="en-US" w:eastAsia="zh-CN" w:bidi="zh-CN"/>
                    </w:rPr>
                    <w:t>喷雾炮</w:t>
                  </w:r>
                </w:p>
              </w:tc>
              <w:tc>
                <w:tcPr>
                  <w:tcW w:w="4610" w:type="dxa"/>
                  <w:noWrap w:val="0"/>
                  <w:vAlign w:val="center"/>
                </w:tcPr>
                <w:p w14:paraId="5F9E8774">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eastAsia="宋体" w:cs="Times New Roman"/>
                      <w:b/>
                      <w:bCs/>
                      <w:color w:val="auto"/>
                      <w:sz w:val="21"/>
                      <w:szCs w:val="21"/>
                      <w:vertAlign w:val="baseline"/>
                      <w:lang w:val="en-US" w:eastAsia="zh-CN" w:bidi="zh-CN"/>
                    </w:rPr>
                    <w:t>防尘网</w:t>
                  </w:r>
                </w:p>
              </w:tc>
            </w:tr>
          </w:tbl>
          <w:p w14:paraId="0D977E70">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afterLines="50" w:line="240" w:lineRule="auto"/>
              <w:jc w:val="center"/>
              <w:textAlignment w:val="auto"/>
              <w:rPr>
                <w:rFonts w:hint="default" w:ascii="Times New Roman" w:hAnsi="Times New Roman" w:eastAsia="宋体" w:cs="Times New Roman"/>
                <w:sz w:val="24"/>
                <w:szCs w:val="24"/>
                <w:lang w:val="en-US" w:eastAsia="zh-CN" w:bidi="zh-CN"/>
              </w:rPr>
            </w:pPr>
            <w:r>
              <w:rPr>
                <w:rFonts w:hint="default" w:ascii="Times New Roman" w:hAnsi="Times New Roman" w:cs="Times New Roman"/>
                <w:b/>
                <w:bCs/>
                <w:sz w:val="24"/>
                <w:vertAlign w:val="baseline"/>
                <w:lang w:val="en-US" w:eastAsia="zh-CN"/>
              </w:rPr>
              <w:t>图4-</w:t>
            </w:r>
            <w:r>
              <w:rPr>
                <w:rFonts w:hint="eastAsia" w:ascii="Times New Roman" w:hAnsi="Times New Roman" w:cs="Times New Roman"/>
                <w:b/>
                <w:bCs/>
                <w:sz w:val="24"/>
                <w:vertAlign w:val="baseline"/>
                <w:lang w:val="en-US" w:eastAsia="zh-CN"/>
              </w:rPr>
              <w:t>1</w:t>
            </w:r>
            <w:r>
              <w:rPr>
                <w:rFonts w:hint="eastAsia" w:cs="Times New Roman"/>
                <w:b/>
                <w:bCs/>
                <w:sz w:val="24"/>
                <w:vertAlign w:val="baseline"/>
                <w:lang w:val="en-US" w:eastAsia="zh-CN"/>
              </w:rPr>
              <w:t>2</w:t>
            </w:r>
            <w:r>
              <w:rPr>
                <w:rFonts w:hint="default" w:ascii="Times New Roman" w:hAnsi="Times New Roman" w:cs="Times New Roman"/>
                <w:b/>
                <w:bCs/>
                <w:sz w:val="24"/>
                <w:vertAlign w:val="baseline"/>
                <w:lang w:val="en-US" w:eastAsia="zh-CN"/>
              </w:rPr>
              <w:t xml:space="preserve">  项目施工期废气防治措施图</w:t>
            </w:r>
          </w:p>
          <w:p w14:paraId="66418210">
            <w:pPr>
              <w:numPr>
                <w:ilvl w:val="0"/>
                <w:numId w:val="0"/>
              </w:numPr>
              <w:tabs>
                <w:tab w:val="left" w:pos="1680"/>
                <w:tab w:val="left" w:pos="8607"/>
              </w:tabs>
              <w:snapToGrid w:val="0"/>
              <w:spacing w:line="360" w:lineRule="auto"/>
              <w:ind w:left="480" w:leftChars="0"/>
              <w:jc w:val="left"/>
              <w:rPr>
                <w:rFonts w:hint="default" w:ascii="Times New Roman" w:hAnsi="Times New Roman" w:cs="Times New Roman"/>
                <w:sz w:val="24"/>
                <w:szCs w:val="24"/>
              </w:rPr>
            </w:pPr>
            <w:r>
              <w:rPr>
                <w:rFonts w:hint="eastAsia" w:cs="Times New Roman"/>
                <w:sz w:val="24"/>
                <w:szCs w:val="24"/>
                <w:lang w:val="en-US" w:eastAsia="zh-CN" w:bidi="zh-CN"/>
              </w:rPr>
              <w:t>（2）</w:t>
            </w:r>
            <w:r>
              <w:rPr>
                <w:rFonts w:hint="default" w:ascii="Times New Roman" w:hAnsi="Times New Roman" w:eastAsia="宋体" w:cs="Times New Roman"/>
                <w:sz w:val="24"/>
                <w:szCs w:val="24"/>
                <w:lang w:val="en-US" w:eastAsia="zh-CN" w:bidi="zh-CN"/>
              </w:rPr>
              <w:t>废水</w:t>
            </w:r>
          </w:p>
          <w:p w14:paraId="205053CE">
            <w:pPr>
              <w:numPr>
                <w:ilvl w:val="0"/>
                <w:numId w:val="0"/>
              </w:numPr>
              <w:tabs>
                <w:tab w:val="left" w:pos="1680"/>
                <w:tab w:val="left" w:pos="8607"/>
              </w:tabs>
              <w:snapToGrid w:val="0"/>
              <w:spacing w:line="360" w:lineRule="auto"/>
              <w:ind w:firstLine="480" w:firstLineChars="200"/>
              <w:jc w:val="left"/>
              <w:rPr>
                <w:rFonts w:hint="default" w:ascii="Times New Roman" w:hAnsi="Times New Roman" w:eastAsia="宋体" w:cs="Times New Roman"/>
                <w:sz w:val="24"/>
                <w:szCs w:val="24"/>
                <w:lang w:val="en-US" w:eastAsia="zh-CN" w:bidi="zh-CN"/>
              </w:rPr>
            </w:pPr>
            <w:r>
              <w:rPr>
                <w:rFonts w:hint="default" w:ascii="Times New Roman" w:hAnsi="Times New Roman" w:cs="Times New Roman"/>
                <w:kern w:val="0"/>
                <w:sz w:val="24"/>
                <w:szCs w:val="24"/>
                <w:lang w:val="en-US" w:eastAsia="zh-CN"/>
              </w:rPr>
              <w:t>施工期废水主要为施工产生的废水和施工队伍的生活污水</w:t>
            </w:r>
            <w:r>
              <w:rPr>
                <w:rFonts w:hint="default" w:ascii="Times New Roman" w:hAnsi="Times New Roman" w:cs="Times New Roman"/>
                <w:kern w:val="0"/>
                <w:sz w:val="24"/>
                <w:szCs w:val="24"/>
                <w:lang w:eastAsia="zh-CN"/>
              </w:rPr>
              <w:t>。</w:t>
            </w:r>
          </w:p>
          <w:p w14:paraId="0F3E3C9F">
            <w:pPr>
              <w:tabs>
                <w:tab w:val="left" w:pos="1680"/>
                <w:tab w:val="left" w:pos="8607"/>
              </w:tabs>
              <w:snapToGrid w:val="0"/>
              <w:spacing w:line="360" w:lineRule="auto"/>
              <w:ind w:firstLine="470" w:firstLineChars="196"/>
              <w:jc w:val="left"/>
              <w:rPr>
                <w:rFonts w:hint="default" w:ascii="Times New Roman" w:hAnsi="Times New Roman" w:eastAsia="宋体" w:cs="Times New Roman"/>
                <w:sz w:val="24"/>
                <w:szCs w:val="24"/>
                <w:lang w:val="en-US" w:eastAsia="zh-CN" w:bidi="zh-CN"/>
              </w:rPr>
            </w:pPr>
            <w:r>
              <w:rPr>
                <w:rFonts w:hint="default" w:ascii="Times New Roman" w:hAnsi="Times New Roman" w:cs="Times New Roman"/>
                <w:sz w:val="24"/>
                <w:szCs w:val="24"/>
              </w:rPr>
              <w:t>施工期</w:t>
            </w:r>
            <w:r>
              <w:rPr>
                <w:rFonts w:hint="default" w:ascii="Times New Roman" w:hAnsi="Times New Roman" w:cs="Times New Roman"/>
                <w:sz w:val="24"/>
                <w:szCs w:val="24"/>
                <w:lang w:val="en-US" w:eastAsia="zh-CN"/>
              </w:rPr>
              <w:t>施工废水经沉淀池处理后回用</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生活污水经化粪池处理后定期清掏用于附近农田肥田</w:t>
            </w:r>
            <w:r>
              <w:rPr>
                <w:rFonts w:hint="default" w:ascii="Times New Roman" w:hAnsi="Times New Roman" w:cs="Times New Roman"/>
                <w:sz w:val="24"/>
                <w:szCs w:val="24"/>
                <w:lang w:eastAsia="zh-CN"/>
              </w:rPr>
              <w:t>。</w:t>
            </w:r>
          </w:p>
          <w:p w14:paraId="50044577">
            <w:pPr>
              <w:tabs>
                <w:tab w:val="left" w:pos="1680"/>
                <w:tab w:val="left" w:pos="8607"/>
              </w:tabs>
              <w:snapToGrid w:val="0"/>
              <w:spacing w:line="360" w:lineRule="auto"/>
              <w:ind w:firstLine="470" w:firstLineChars="196"/>
              <w:jc w:val="left"/>
              <w:rPr>
                <w:rFonts w:hint="default" w:ascii="Times New Roman" w:hAnsi="Times New Roman" w:eastAsia="宋体" w:cs="Times New Roman"/>
                <w:sz w:val="24"/>
                <w:szCs w:val="24"/>
                <w:lang w:val="en-US" w:eastAsia="zh-CN" w:bidi="zh-CN"/>
              </w:rPr>
            </w:pPr>
            <w:r>
              <w:rPr>
                <w:rFonts w:hint="eastAsia" w:cs="Times New Roman"/>
                <w:sz w:val="24"/>
                <w:szCs w:val="24"/>
                <w:lang w:val="en-US" w:eastAsia="zh-CN" w:bidi="zh-CN"/>
              </w:rPr>
              <w:t>（3）</w:t>
            </w:r>
            <w:r>
              <w:rPr>
                <w:rFonts w:hint="default" w:ascii="Times New Roman" w:hAnsi="Times New Roman" w:eastAsia="宋体" w:cs="Times New Roman"/>
                <w:sz w:val="24"/>
                <w:szCs w:val="24"/>
                <w:lang w:val="en-US" w:eastAsia="zh-CN" w:bidi="zh-CN"/>
              </w:rPr>
              <w:t>噪声</w:t>
            </w:r>
          </w:p>
          <w:p w14:paraId="1B5E95A1">
            <w:pPr>
              <w:pStyle w:val="23"/>
              <w:spacing w:line="360" w:lineRule="auto"/>
              <w:ind w:firstLine="480" w:firstLineChars="200"/>
              <w:jc w:val="both"/>
              <w:rPr>
                <w:rFonts w:hint="default" w:ascii="Times New Roman" w:hAnsi="Times New Roman" w:cs="Times New Roman"/>
                <w:sz w:val="24"/>
                <w:lang w:eastAsia="zh-CN"/>
              </w:rPr>
            </w:pPr>
            <w:r>
              <w:rPr>
                <w:rFonts w:hint="default" w:ascii="Times New Roman" w:hAnsi="Times New Roman" w:cs="Times New Roman"/>
                <w:sz w:val="24"/>
                <w:lang w:val="en-US" w:eastAsia="zh-CN"/>
              </w:rPr>
              <w:t>施工期噪声主要为施工机械噪声、施工作业噪声和运输车辆噪声</w:t>
            </w:r>
            <w:r>
              <w:rPr>
                <w:rFonts w:hint="default" w:ascii="Times New Roman" w:hAnsi="Times New Roman" w:cs="Times New Roman"/>
                <w:sz w:val="24"/>
                <w:lang w:eastAsia="zh-CN"/>
              </w:rPr>
              <w:t>。</w:t>
            </w:r>
          </w:p>
          <w:p w14:paraId="779BEBDA">
            <w:pPr>
              <w:pStyle w:val="23"/>
              <w:spacing w:line="360" w:lineRule="auto"/>
              <w:ind w:firstLine="480" w:firstLineChars="200"/>
              <w:jc w:val="both"/>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采取的措施主要包括：</w:t>
            </w:r>
          </w:p>
          <w:p w14:paraId="74AD62E9">
            <w:pPr>
              <w:pStyle w:val="23"/>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①在施工过程中，尽量采用低噪声的施工机械，减少同时作业的高噪施工机械数量，尽可能减轻声源叠加影响。</w:t>
            </w:r>
          </w:p>
          <w:p w14:paraId="4FE98149">
            <w:pPr>
              <w:pStyle w:val="23"/>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②施工中加强对施工机械的维护保养，避免因设备性能差而增大机械噪声的现象产生。</w:t>
            </w:r>
          </w:p>
          <w:p w14:paraId="596C1ACE">
            <w:pPr>
              <w:pStyle w:val="23"/>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③加强对运输车辆的管理，车辆进入施工现场尽量避免鸣笛。</w:t>
            </w:r>
          </w:p>
          <w:p w14:paraId="31C2B95E">
            <w:pPr>
              <w:pStyle w:val="23"/>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4 \* GB3 \* MERGEFORMAT </w:instrText>
            </w:r>
            <w:r>
              <w:rPr>
                <w:rFonts w:hint="eastAsia"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④</w:t>
            </w:r>
            <w:r>
              <w:rPr>
                <w:rFonts w:hint="eastAsia"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合理安排施工作业时间，施工尽量安排在白天进行，以免影响施工场地附近居民午间和夜间休息。</w:t>
            </w:r>
          </w:p>
          <w:p w14:paraId="18D4BFCF">
            <w:pPr>
              <w:tabs>
                <w:tab w:val="left" w:pos="1680"/>
                <w:tab w:val="left" w:pos="8607"/>
              </w:tabs>
              <w:snapToGrid w:val="0"/>
              <w:spacing w:line="360" w:lineRule="auto"/>
              <w:ind w:firstLine="470" w:firstLineChars="196"/>
              <w:jc w:val="left"/>
              <w:rPr>
                <w:rFonts w:hint="default" w:ascii="Times New Roman" w:hAnsi="Times New Roman" w:eastAsia="宋体" w:cs="Times New Roman"/>
                <w:sz w:val="24"/>
                <w:szCs w:val="24"/>
                <w:lang w:val="en-US" w:eastAsia="zh-CN" w:bidi="zh-CN"/>
              </w:rPr>
            </w:pPr>
            <w:r>
              <w:rPr>
                <w:rFonts w:hint="eastAsia" w:cs="Times New Roman"/>
                <w:sz w:val="24"/>
                <w:szCs w:val="24"/>
                <w:lang w:val="en-US" w:eastAsia="zh-CN" w:bidi="zh-CN"/>
              </w:rPr>
              <w:t>（4）</w:t>
            </w:r>
            <w:r>
              <w:rPr>
                <w:rFonts w:hint="default" w:ascii="Times New Roman" w:hAnsi="Times New Roman" w:eastAsia="宋体" w:cs="Times New Roman"/>
                <w:sz w:val="24"/>
                <w:szCs w:val="24"/>
                <w:lang w:val="en-US" w:eastAsia="zh-CN" w:bidi="zh-CN"/>
              </w:rPr>
              <w:t>固体废物</w:t>
            </w:r>
          </w:p>
          <w:p w14:paraId="5F672E29">
            <w:pPr>
              <w:pStyle w:val="23"/>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cs="Times New Roman"/>
                <w:sz w:val="24"/>
                <w:lang w:val="en-US" w:eastAsia="zh-CN"/>
              </w:rPr>
              <w:t>施工期固体废物主要为施工建筑垃圾、工人产生的生活垃圾、剥离的风化层及表土等。</w:t>
            </w:r>
          </w:p>
          <w:p w14:paraId="67F46ABD">
            <w:pPr>
              <w:pStyle w:val="23"/>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采取的措施主要包括：</w:t>
            </w:r>
          </w:p>
          <w:p w14:paraId="74E72A55">
            <w:pPr>
              <w:pStyle w:val="23"/>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①施工人员的生活垃圾定点堆放，定时清运至环卫部门指定的垃圾处理场或卫生填埋场统一处置。</w:t>
            </w:r>
          </w:p>
          <w:p w14:paraId="63D985F1">
            <w:pPr>
              <w:pStyle w:val="23"/>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②建筑垃圾尽量回用于其他建设工程，不可利用的与当地市容局渣土办联系外运。</w:t>
            </w:r>
          </w:p>
          <w:p w14:paraId="77D0FF7A">
            <w:pPr>
              <w:pStyle w:val="23"/>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③剥离表土及风化层及时利用自卸汽车运送至排土场进行综合利用。</w:t>
            </w:r>
          </w:p>
          <w:p w14:paraId="504A652C">
            <w:pPr>
              <w:pStyle w:val="23"/>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4 \* GB3 \* MERGEFORMAT </w:instrText>
            </w:r>
            <w:r>
              <w:rPr>
                <w:rFonts w:hint="eastAsia" w:ascii="Times New Roman" w:hAnsi="Times New Roman" w:eastAsia="宋体" w:cs="Times New Roman"/>
                <w:color w:val="auto"/>
                <w:sz w:val="24"/>
                <w:szCs w:val="24"/>
                <w:lang w:val="en-US" w:eastAsia="zh-CN"/>
              </w:rPr>
              <w:fldChar w:fldCharType="separate"/>
            </w:r>
            <w:r>
              <w:t>④</w:t>
            </w:r>
            <w:r>
              <w:rPr>
                <w:rFonts w:hint="eastAsia"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eastAsia="zh-CN"/>
              </w:rPr>
              <w:t>对施工过程中余土应尽量加以利用或妥善处理，不随意堆放，尽量减少对地表植被的破坏，并及时进行恢复和补植。</w:t>
            </w:r>
          </w:p>
          <w:p w14:paraId="42BD15D6">
            <w:pPr>
              <w:pStyle w:val="23"/>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运营期</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val="en-US" w:eastAsia="zh-CN"/>
              </w:rPr>
              <w:t>污染物排放及环境保护措施</w:t>
            </w:r>
          </w:p>
          <w:p w14:paraId="20AEBE8F">
            <w:pPr>
              <w:numPr>
                <w:ilvl w:val="0"/>
                <w:numId w:val="0"/>
              </w:numPr>
              <w:tabs>
                <w:tab w:val="left" w:pos="1680"/>
                <w:tab w:val="left" w:pos="8607"/>
              </w:tabs>
              <w:snapToGrid w:val="0"/>
              <w:spacing w:line="360" w:lineRule="auto"/>
              <w:ind w:firstLine="480" w:firstLineChars="200"/>
              <w:jc w:val="both"/>
              <w:rPr>
                <w:rFonts w:hint="default" w:ascii="Times New Roman" w:hAnsi="Times New Roman" w:eastAsia="宋体" w:cs="Times New Roman"/>
                <w:sz w:val="24"/>
                <w:szCs w:val="24"/>
                <w:lang w:val="en-US" w:eastAsia="zh-CN" w:bidi="zh-CN"/>
              </w:rPr>
            </w:pPr>
            <w:r>
              <w:rPr>
                <w:rFonts w:hint="eastAsia" w:cs="Times New Roman"/>
                <w:sz w:val="24"/>
                <w:szCs w:val="24"/>
                <w:lang w:val="en-US" w:eastAsia="zh-CN" w:bidi="zh-CN"/>
              </w:rPr>
              <w:t>（1）</w:t>
            </w:r>
            <w:r>
              <w:rPr>
                <w:rFonts w:hint="default" w:ascii="Times New Roman" w:hAnsi="Times New Roman" w:eastAsia="宋体" w:cs="Times New Roman"/>
                <w:sz w:val="24"/>
                <w:szCs w:val="24"/>
                <w:lang w:val="en-US" w:eastAsia="zh-CN" w:bidi="zh-CN"/>
              </w:rPr>
              <w:t>废气</w:t>
            </w:r>
          </w:p>
          <w:p w14:paraId="1A5E22BA">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项目运营期主要大气污染物有剥离粉尘、切割</w:t>
            </w:r>
            <w:r>
              <w:rPr>
                <w:rFonts w:hint="eastAsia" w:cs="Times New Roman"/>
                <w:sz w:val="24"/>
                <w:lang w:eastAsia="zh-CN"/>
              </w:rPr>
              <w:t>分离</w:t>
            </w:r>
            <w:r>
              <w:rPr>
                <w:rFonts w:hint="default" w:ascii="Times New Roman" w:hAnsi="Times New Roman" w:cs="Times New Roman"/>
                <w:sz w:val="24"/>
              </w:rPr>
              <w:t>粉尘、装卸扬尘、运输扬尘、动力机械燃油尾气、食堂油烟。</w:t>
            </w:r>
          </w:p>
          <w:p w14:paraId="40B18EA4">
            <w:pPr>
              <w:numPr>
                <w:ilvl w:val="0"/>
                <w:numId w:val="0"/>
              </w:numPr>
              <w:tabs>
                <w:tab w:val="left" w:pos="1680"/>
                <w:tab w:val="left" w:pos="8607"/>
              </w:tabs>
              <w:snapToGrid w:val="0"/>
              <w:spacing w:line="360" w:lineRule="auto"/>
              <w:ind w:firstLine="480" w:firstLineChars="200"/>
              <w:jc w:val="both"/>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采取的措施主要包括：</w:t>
            </w:r>
          </w:p>
          <w:p w14:paraId="530AF53B">
            <w:pPr>
              <w:tabs>
                <w:tab w:val="left" w:pos="1680"/>
                <w:tab w:val="left" w:pos="8607"/>
              </w:tabs>
              <w:snapToGrid w:val="0"/>
              <w:spacing w:line="360" w:lineRule="auto"/>
              <w:ind w:firstLine="480" w:firstLineChars="200"/>
              <w:jc w:val="both"/>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①切割分离粉尘：采取湿法切割，同时采取洒水降尘；</w:t>
            </w:r>
          </w:p>
          <w:p w14:paraId="6AA617F5">
            <w:pPr>
              <w:tabs>
                <w:tab w:val="left" w:pos="1680"/>
                <w:tab w:val="left" w:pos="8607"/>
              </w:tabs>
              <w:snapToGrid w:val="0"/>
              <w:spacing w:line="360" w:lineRule="auto"/>
              <w:ind w:firstLine="480" w:firstLineChars="200"/>
              <w:jc w:val="both"/>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②剥离粉尘、装卸扬尘、运输扬尘：采取洒水降尘；</w:t>
            </w:r>
          </w:p>
          <w:p w14:paraId="1AF36A16">
            <w:pPr>
              <w:tabs>
                <w:tab w:val="left" w:pos="1680"/>
                <w:tab w:val="left" w:pos="8607"/>
              </w:tabs>
              <w:snapToGrid w:val="0"/>
              <w:spacing w:line="360" w:lineRule="auto"/>
              <w:ind w:firstLine="480" w:firstLineChars="200"/>
              <w:jc w:val="both"/>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③食堂油烟：采取油烟净化装置进行处理后通过油烟管道引至屋顶排放；</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9"/>
              <w:gridCol w:w="4540"/>
            </w:tblGrid>
            <w:tr w14:paraId="1328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0" w:type="dxa"/>
                  <w:noWrap w:val="0"/>
                  <w:vAlign w:val="center"/>
                </w:tcPr>
                <w:p w14:paraId="3378D695">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eastAsia="宋体" w:cs="Times New Roman"/>
                      <w:b/>
                      <w:bCs/>
                      <w:color w:val="auto"/>
                      <w:sz w:val="21"/>
                      <w:szCs w:val="21"/>
                      <w:vertAlign w:val="baseline"/>
                      <w:lang w:val="en-US" w:eastAsia="zh-CN" w:bidi="zh-CN"/>
                    </w:rPr>
                    <w:drawing>
                      <wp:inline distT="0" distB="0" distL="114300" distR="114300">
                        <wp:extent cx="2834640" cy="1800225"/>
                        <wp:effectExtent l="0" t="0" r="6985" b="9525"/>
                        <wp:docPr id="18" name="图片 18" descr="IMG_20240522_09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0522_095953"/>
                                <pic:cNvPicPr>
                                  <a:picLocks noChangeAspect="1"/>
                                </pic:cNvPicPr>
                              </pic:nvPicPr>
                              <pic:blipFill>
                                <a:blip r:embed="rId37"/>
                                <a:srcRect l="11599" r="17517"/>
                                <a:stretch>
                                  <a:fillRect/>
                                </a:stretch>
                              </pic:blipFill>
                              <pic:spPr>
                                <a:xfrm>
                                  <a:off x="0" y="0"/>
                                  <a:ext cx="2834640" cy="1800225"/>
                                </a:xfrm>
                                <a:prstGeom prst="rect">
                                  <a:avLst/>
                                </a:prstGeom>
                              </pic:spPr>
                            </pic:pic>
                          </a:graphicData>
                        </a:graphic>
                      </wp:inline>
                    </w:drawing>
                  </w:r>
                </w:p>
              </w:tc>
              <w:tc>
                <w:tcPr>
                  <w:tcW w:w="4620" w:type="dxa"/>
                  <w:noWrap w:val="0"/>
                  <w:vAlign w:val="center"/>
                </w:tcPr>
                <w:p w14:paraId="1EA8C121">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FF0000"/>
                      <w:sz w:val="21"/>
                      <w:szCs w:val="21"/>
                      <w:vertAlign w:val="baseline"/>
                      <w:lang w:val="en-US" w:eastAsia="zh-CN" w:bidi="zh-CN"/>
                    </w:rPr>
                  </w:pPr>
                  <w:r>
                    <w:rPr>
                      <w:rFonts w:hint="default" w:ascii="Times New Roman" w:hAnsi="Times New Roman" w:eastAsia="宋体" w:cs="Times New Roman"/>
                      <w:sz w:val="24"/>
                      <w:vertAlign w:val="baseline"/>
                      <w:lang w:val="en-US" w:eastAsia="zh-CN"/>
                    </w:rPr>
                    <w:drawing>
                      <wp:inline distT="0" distB="0" distL="114300" distR="114300">
                        <wp:extent cx="2661285" cy="1689100"/>
                        <wp:effectExtent l="0" t="0" r="5715" b="9525"/>
                        <wp:docPr id="17" name="图片 17" descr="IMG_20240522_09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522_094241"/>
                                <pic:cNvPicPr>
                                  <a:picLocks noChangeAspect="1"/>
                                </pic:cNvPicPr>
                              </pic:nvPicPr>
                              <pic:blipFill>
                                <a:blip r:embed="rId36"/>
                                <a:srcRect l="6085" r="22992"/>
                                <a:stretch>
                                  <a:fillRect/>
                                </a:stretch>
                              </pic:blipFill>
                              <pic:spPr>
                                <a:xfrm>
                                  <a:off x="0" y="0"/>
                                  <a:ext cx="2661285" cy="1689100"/>
                                </a:xfrm>
                                <a:prstGeom prst="rect">
                                  <a:avLst/>
                                </a:prstGeom>
                              </pic:spPr>
                            </pic:pic>
                          </a:graphicData>
                        </a:graphic>
                      </wp:inline>
                    </w:drawing>
                  </w:r>
                </w:p>
              </w:tc>
            </w:tr>
            <w:tr w14:paraId="14F2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0" w:type="dxa"/>
                  <w:noWrap w:val="0"/>
                  <w:vAlign w:val="center"/>
                </w:tcPr>
                <w:p w14:paraId="0E69482F">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eastAsia" w:cs="Times New Roman"/>
                      <w:b/>
                      <w:bCs/>
                      <w:color w:val="auto"/>
                      <w:sz w:val="21"/>
                      <w:szCs w:val="21"/>
                      <w:vertAlign w:val="baseline"/>
                      <w:lang w:val="en-US" w:eastAsia="zh-CN" w:bidi="zh-CN"/>
                    </w:rPr>
                    <w:t>喷雾降尘</w:t>
                  </w:r>
                </w:p>
              </w:tc>
              <w:tc>
                <w:tcPr>
                  <w:tcW w:w="4620" w:type="dxa"/>
                  <w:noWrap w:val="0"/>
                  <w:vAlign w:val="center"/>
                </w:tcPr>
                <w:p w14:paraId="3D3926A8">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eastAsia" w:ascii="Times New Roman" w:hAnsi="Times New Roman" w:eastAsia="宋体" w:cs="Times New Roman"/>
                      <w:b/>
                      <w:bCs/>
                      <w:color w:val="auto"/>
                      <w:sz w:val="21"/>
                      <w:szCs w:val="21"/>
                      <w:vertAlign w:val="baseline"/>
                      <w:lang w:val="en-US" w:eastAsia="zh-CN" w:bidi="zh-CN"/>
                    </w:rPr>
                    <w:t>车辆清洗措施</w:t>
                  </w:r>
                </w:p>
              </w:tc>
            </w:tr>
            <w:tr w14:paraId="2D5A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0" w:type="dxa"/>
                  <w:noWrap w:val="0"/>
                  <w:vAlign w:val="center"/>
                </w:tcPr>
                <w:p w14:paraId="0972DD17">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bidi="zh-CN"/>
                    </w:rPr>
                  </w:pPr>
                  <w:r>
                    <w:rPr>
                      <w:rFonts w:ascii="宋体" w:hAnsi="宋体" w:eastAsia="宋体" w:cs="宋体"/>
                      <w:sz w:val="24"/>
                      <w:szCs w:val="24"/>
                    </w:rPr>
                    <w:drawing>
                      <wp:inline distT="0" distB="0" distL="114300" distR="114300">
                        <wp:extent cx="2719070" cy="2124710"/>
                        <wp:effectExtent l="0" t="0" r="11430" b="2540"/>
                        <wp:docPr id="20"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IMG_256"/>
                                <pic:cNvPicPr>
                                  <a:picLocks noChangeAspect="1"/>
                                </pic:cNvPicPr>
                              </pic:nvPicPr>
                              <pic:blipFill>
                                <a:blip r:embed="rId39"/>
                                <a:srcRect t="36336" b="5065"/>
                                <a:stretch>
                                  <a:fillRect/>
                                </a:stretch>
                              </pic:blipFill>
                              <pic:spPr>
                                <a:xfrm>
                                  <a:off x="0" y="0"/>
                                  <a:ext cx="2719070" cy="2124710"/>
                                </a:xfrm>
                                <a:prstGeom prst="rect">
                                  <a:avLst/>
                                </a:prstGeom>
                                <a:noFill/>
                                <a:ln w="9525">
                                  <a:noFill/>
                                </a:ln>
                              </pic:spPr>
                            </pic:pic>
                          </a:graphicData>
                        </a:graphic>
                      </wp:inline>
                    </w:drawing>
                  </w:r>
                </w:p>
              </w:tc>
              <w:tc>
                <w:tcPr>
                  <w:tcW w:w="4620" w:type="dxa"/>
                  <w:noWrap w:val="0"/>
                  <w:vAlign w:val="center"/>
                </w:tcPr>
                <w:p w14:paraId="61412FAA">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bidi="zh-CN"/>
                    </w:rPr>
                  </w:pPr>
                  <w:r>
                    <w:rPr>
                      <w:rFonts w:hint="eastAsia" w:ascii="Times New Roman" w:hAnsi="Times New Roman" w:eastAsia="宋体" w:cs="Times New Roman"/>
                      <w:b/>
                      <w:bCs/>
                      <w:color w:val="auto"/>
                      <w:sz w:val="21"/>
                      <w:szCs w:val="21"/>
                      <w:vertAlign w:val="baseline"/>
                      <w:lang w:val="en-US" w:eastAsia="zh-CN" w:bidi="zh-CN"/>
                    </w:rPr>
                    <w:drawing>
                      <wp:inline distT="0" distB="0" distL="114300" distR="114300">
                        <wp:extent cx="2766695" cy="2101850"/>
                        <wp:effectExtent l="0" t="0" r="11430" b="9525"/>
                        <wp:docPr id="19" name="图片 19" descr="IMG_20240522_11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0522_111908"/>
                                <pic:cNvPicPr>
                                  <a:picLocks noChangeAspect="1"/>
                                </pic:cNvPicPr>
                              </pic:nvPicPr>
                              <pic:blipFill>
                                <a:blip r:embed="rId40"/>
                                <a:srcRect l="33036" r="7696"/>
                                <a:stretch>
                                  <a:fillRect/>
                                </a:stretch>
                              </pic:blipFill>
                              <pic:spPr>
                                <a:xfrm>
                                  <a:off x="0" y="0"/>
                                  <a:ext cx="2766695" cy="2101850"/>
                                </a:xfrm>
                                <a:prstGeom prst="rect">
                                  <a:avLst/>
                                </a:prstGeom>
                              </pic:spPr>
                            </pic:pic>
                          </a:graphicData>
                        </a:graphic>
                      </wp:inline>
                    </w:drawing>
                  </w:r>
                </w:p>
              </w:tc>
            </w:tr>
            <w:tr w14:paraId="3F94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0" w:type="dxa"/>
                  <w:noWrap w:val="0"/>
                  <w:vAlign w:val="center"/>
                </w:tcPr>
                <w:p w14:paraId="4A9CAA25">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eastAsia" w:ascii="Times New Roman" w:hAnsi="Times New Roman" w:eastAsia="宋体" w:cs="Times New Roman"/>
                      <w:b/>
                      <w:bCs/>
                      <w:color w:val="auto"/>
                      <w:sz w:val="21"/>
                      <w:szCs w:val="21"/>
                      <w:vertAlign w:val="baseline"/>
                      <w:lang w:val="en-US" w:eastAsia="zh-CN" w:bidi="zh-CN"/>
                    </w:rPr>
                    <w:t>车辆加盖帆布</w:t>
                  </w:r>
                </w:p>
              </w:tc>
              <w:tc>
                <w:tcPr>
                  <w:tcW w:w="4620" w:type="dxa"/>
                  <w:noWrap w:val="0"/>
                  <w:vAlign w:val="center"/>
                </w:tcPr>
                <w:p w14:paraId="61AFB9BD">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bidi="zh-CN"/>
                    </w:rPr>
                  </w:pPr>
                  <w:r>
                    <w:rPr>
                      <w:rFonts w:hint="eastAsia" w:cs="Times New Roman"/>
                      <w:b/>
                      <w:bCs/>
                      <w:color w:val="auto"/>
                      <w:sz w:val="21"/>
                      <w:szCs w:val="21"/>
                      <w:vertAlign w:val="baseline"/>
                      <w:lang w:val="en-US" w:eastAsia="zh-CN" w:bidi="zh-CN"/>
                    </w:rPr>
                    <w:t>湿法作业</w:t>
                  </w:r>
                </w:p>
              </w:tc>
            </w:tr>
          </w:tbl>
          <w:p w14:paraId="29902CF6">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afterLines="50" w:line="240" w:lineRule="auto"/>
              <w:jc w:val="center"/>
              <w:textAlignment w:val="auto"/>
              <w:rPr>
                <w:rFonts w:hint="default" w:ascii="Times New Roman" w:hAnsi="Times New Roman" w:cs="Times New Roman"/>
                <w:color w:val="000000"/>
                <w:sz w:val="24"/>
              </w:rPr>
            </w:pPr>
            <w:r>
              <w:rPr>
                <w:rFonts w:hint="default" w:ascii="Times New Roman" w:hAnsi="Times New Roman" w:cs="Times New Roman"/>
                <w:b/>
                <w:bCs/>
                <w:sz w:val="24"/>
                <w:vertAlign w:val="baseline"/>
                <w:lang w:val="en-US" w:eastAsia="zh-CN"/>
              </w:rPr>
              <w:t>图4-</w:t>
            </w:r>
            <w:r>
              <w:rPr>
                <w:rFonts w:hint="eastAsia" w:ascii="Times New Roman" w:hAnsi="Times New Roman" w:cs="Times New Roman"/>
                <w:b/>
                <w:bCs/>
                <w:sz w:val="24"/>
                <w:vertAlign w:val="baseline"/>
                <w:lang w:val="en-US" w:eastAsia="zh-CN"/>
              </w:rPr>
              <w:t>1</w:t>
            </w:r>
            <w:r>
              <w:rPr>
                <w:rFonts w:hint="eastAsia" w:cs="Times New Roman"/>
                <w:b/>
                <w:bCs/>
                <w:sz w:val="24"/>
                <w:vertAlign w:val="baseline"/>
                <w:lang w:val="en-US" w:eastAsia="zh-CN"/>
              </w:rPr>
              <w:t>3</w:t>
            </w:r>
            <w:r>
              <w:rPr>
                <w:rFonts w:hint="default" w:ascii="Times New Roman" w:hAnsi="Times New Roman" w:cs="Times New Roman"/>
                <w:b/>
                <w:bCs/>
                <w:sz w:val="24"/>
                <w:vertAlign w:val="baseline"/>
                <w:lang w:val="en-US" w:eastAsia="zh-CN"/>
              </w:rPr>
              <w:t xml:space="preserve">  项目</w:t>
            </w:r>
            <w:r>
              <w:rPr>
                <w:rFonts w:hint="eastAsia" w:ascii="Times New Roman" w:hAnsi="Times New Roman" w:cs="Times New Roman"/>
                <w:b/>
                <w:bCs/>
                <w:sz w:val="24"/>
                <w:vertAlign w:val="baseline"/>
                <w:lang w:val="en-US" w:eastAsia="zh-CN"/>
              </w:rPr>
              <w:t>运营期</w:t>
            </w:r>
            <w:r>
              <w:rPr>
                <w:rFonts w:hint="default" w:ascii="Times New Roman" w:hAnsi="Times New Roman" w:cs="Times New Roman"/>
                <w:b/>
                <w:bCs/>
                <w:sz w:val="24"/>
                <w:vertAlign w:val="baseline"/>
                <w:lang w:val="en-US" w:eastAsia="zh-CN"/>
              </w:rPr>
              <w:t>废气防治措施图</w:t>
            </w:r>
          </w:p>
          <w:p w14:paraId="396EB0AA">
            <w:pPr>
              <w:numPr>
                <w:ilvl w:val="0"/>
                <w:numId w:val="0"/>
              </w:numPr>
              <w:tabs>
                <w:tab w:val="left" w:pos="1680"/>
                <w:tab w:val="left" w:pos="8607"/>
              </w:tabs>
              <w:snapToGrid w:val="0"/>
              <w:spacing w:line="360" w:lineRule="auto"/>
              <w:ind w:leftChars="196"/>
              <w:jc w:val="left"/>
              <w:rPr>
                <w:rFonts w:hint="default" w:ascii="Times New Roman" w:hAnsi="Times New Roman" w:cs="Times New Roman"/>
                <w:sz w:val="24"/>
                <w:szCs w:val="24"/>
              </w:rPr>
            </w:pPr>
            <w:r>
              <w:rPr>
                <w:rFonts w:hint="eastAsia" w:cs="Times New Roman"/>
                <w:sz w:val="24"/>
                <w:szCs w:val="24"/>
                <w:lang w:val="en-US" w:eastAsia="zh-CN" w:bidi="zh-CN"/>
              </w:rPr>
              <w:t>（2）</w:t>
            </w:r>
            <w:r>
              <w:rPr>
                <w:rFonts w:hint="default" w:ascii="Times New Roman" w:hAnsi="Times New Roman" w:eastAsia="宋体" w:cs="Times New Roman"/>
                <w:sz w:val="24"/>
                <w:szCs w:val="24"/>
                <w:lang w:val="en-US" w:eastAsia="zh-CN" w:bidi="zh-CN"/>
              </w:rPr>
              <w:t>废水</w:t>
            </w:r>
          </w:p>
          <w:p w14:paraId="56C00F08">
            <w:pPr>
              <w:tabs>
                <w:tab w:val="left" w:pos="1680"/>
                <w:tab w:val="left" w:pos="8607"/>
              </w:tabs>
              <w:snapToGrid w:val="0"/>
              <w:spacing w:line="360" w:lineRule="auto"/>
              <w:ind w:firstLine="470" w:firstLineChars="196"/>
              <w:jc w:val="left"/>
              <w:rPr>
                <w:rFonts w:hint="default" w:ascii="Times New Roman" w:hAnsi="Times New Roman" w:eastAsia="宋体" w:cs="Times New Roman"/>
                <w:sz w:val="24"/>
                <w:szCs w:val="24"/>
                <w:lang w:val="en-US" w:eastAsia="zh-CN" w:bidi="zh-CN"/>
              </w:rPr>
            </w:pPr>
            <w:r>
              <w:rPr>
                <w:rFonts w:hint="default" w:ascii="Times New Roman" w:hAnsi="Times New Roman" w:cs="Times New Roman"/>
                <w:color w:val="000000"/>
                <w:sz w:val="24"/>
                <w:szCs w:val="24"/>
              </w:rPr>
              <w:t>运营期</w:t>
            </w:r>
            <w:r>
              <w:rPr>
                <w:rFonts w:hint="eastAsia" w:ascii="Times New Roman" w:hAnsi="Times New Roman" w:cs="Times New Roman"/>
                <w:color w:val="000000"/>
                <w:sz w:val="24"/>
                <w:szCs w:val="24"/>
                <w:lang w:val="en-US" w:eastAsia="zh-CN"/>
              </w:rPr>
              <w:t>废水主要为</w:t>
            </w:r>
            <w:r>
              <w:rPr>
                <w:rFonts w:hint="eastAsia" w:eastAsia="宋体" w:cs="Times New Roman"/>
                <w:b w:val="0"/>
                <w:bCs w:val="0"/>
                <w:sz w:val="24"/>
                <w:szCs w:val="24"/>
                <w:lang w:val="en-US" w:eastAsia="zh-CN"/>
              </w:rPr>
              <w:t>生产废水、生活废水和初期雨水</w:t>
            </w:r>
            <w:r>
              <w:rPr>
                <w:rFonts w:hint="default" w:ascii="Times New Roman" w:hAnsi="Times New Roman" w:cs="Times New Roman"/>
                <w:color w:val="000000"/>
                <w:sz w:val="24"/>
                <w:szCs w:val="24"/>
                <w:lang w:eastAsia="zh-CN"/>
              </w:rPr>
              <w:t>。</w:t>
            </w:r>
          </w:p>
          <w:p w14:paraId="4D6EF8A7">
            <w:pPr>
              <w:keepNext w:val="0"/>
              <w:keepLines w:val="0"/>
              <w:pageBreakBefore w:val="0"/>
              <w:widowControl/>
              <w:suppressLineNumbers w:val="0"/>
              <w:tabs>
                <w:tab w:val="left" w:pos="1680"/>
                <w:tab w:val="left" w:pos="8607"/>
              </w:tabs>
              <w:kinsoku/>
              <w:wordWrap/>
              <w:topLinePunct w:val="0"/>
              <w:bidi w:val="0"/>
              <w:adjustRightInd/>
              <w:snapToGrid w:val="0"/>
              <w:spacing w:line="360" w:lineRule="auto"/>
              <w:ind w:firstLine="470" w:firstLineChars="196"/>
              <w:contextualSpacing w:val="0"/>
              <w:jc w:val="left"/>
              <w:textAlignment w:val="auto"/>
              <w:outlineLvl w:val="9"/>
              <w:rPr>
                <w:rFonts w:ascii="Times New Roman" w:hAnsi="Times New Roman" w:eastAsia="宋体" w:cs="Times New Roman"/>
                <w:color w:val="000000"/>
                <w:sz w:val="24"/>
                <w:szCs w:val="24"/>
              </w:rPr>
            </w:pPr>
            <w:r>
              <w:rPr>
                <w:rFonts w:hint="default" w:ascii="Times New Roman" w:hAnsi="Times New Roman" w:eastAsia="宋体" w:cs="Times New Roman"/>
                <w:color w:val="000000"/>
                <w:kern w:val="2"/>
                <w:sz w:val="24"/>
                <w:szCs w:val="24"/>
                <w:lang w:val="en-US" w:eastAsia="zh-CN" w:bidi="ar"/>
              </w:rPr>
              <w:t>项目矿区设置排水沟（规格：0.5m*0.5m），均位于各小区块坑底，平台网格式修建排水渠（规格：0.5m*0.5m），间距按100m×200m布置；矿区露天开采终了平台外设置截洪沟（规格：上宽600mm，下宽400mm，深400mm，边坡1：0.2，纵坡不小于1%）。</w:t>
            </w:r>
          </w:p>
          <w:p w14:paraId="207F3C48">
            <w:pPr>
              <w:keepNext w:val="0"/>
              <w:keepLines w:val="0"/>
              <w:pageBreakBefore w:val="0"/>
              <w:widowControl/>
              <w:tabs>
                <w:tab w:val="left" w:pos="1680"/>
                <w:tab w:val="left" w:pos="8607"/>
              </w:tabs>
              <w:kinsoku/>
              <w:wordWrap/>
              <w:overflowPunct/>
              <w:topLinePunct w:val="0"/>
              <w:autoSpaceDE/>
              <w:autoSpaceDN/>
              <w:bidi w:val="0"/>
              <w:adjustRightInd/>
              <w:snapToGrid w:val="0"/>
              <w:spacing w:line="360" w:lineRule="auto"/>
              <w:ind w:left="0" w:leftChars="0" w:right="0" w:rightChars="0" w:firstLine="470" w:firstLineChars="196"/>
              <w:contextualSpacing w:val="0"/>
              <w:jc w:val="left"/>
              <w:textAlignment w:val="auto"/>
              <w:outlineLvl w:val="9"/>
              <w:rPr>
                <w:rFonts w:hint="default" w:ascii="Times New Roman" w:hAnsi="Times New Roman" w:eastAsia="宋体" w:cs="Times New Roman"/>
                <w:color w:val="000000"/>
                <w:spacing w:val="0"/>
                <w:position w:val="0"/>
                <w:sz w:val="24"/>
                <w:szCs w:val="24"/>
              </w:rPr>
            </w:pPr>
            <w:r>
              <w:rPr>
                <w:rFonts w:hint="default" w:ascii="Times New Roman" w:hAnsi="Times New Roman" w:eastAsia="宋体" w:cs="Times New Roman"/>
                <w:color w:val="000000"/>
                <w:spacing w:val="0"/>
                <w:position w:val="0"/>
                <w:sz w:val="24"/>
                <w:szCs w:val="24"/>
                <w:lang w:eastAsia="zh-CN"/>
              </w:rPr>
              <w:t>开采平台上生产废水和雨水由</w:t>
            </w:r>
            <w:r>
              <w:rPr>
                <w:rFonts w:hint="default" w:ascii="Times New Roman" w:hAnsi="Times New Roman" w:eastAsia="宋体" w:cs="Times New Roman"/>
                <w:color w:val="000000"/>
                <w:spacing w:val="0"/>
                <w:position w:val="0"/>
                <w:sz w:val="24"/>
                <w:szCs w:val="24"/>
              </w:rPr>
              <w:t>污水排水沟</w:t>
            </w:r>
            <w:r>
              <w:rPr>
                <w:rFonts w:hint="default" w:ascii="Times New Roman" w:hAnsi="Times New Roman" w:eastAsia="宋体" w:cs="Times New Roman"/>
                <w:color w:val="000000"/>
                <w:spacing w:val="0"/>
                <w:position w:val="0"/>
                <w:sz w:val="24"/>
                <w:szCs w:val="24"/>
                <w:lang w:eastAsia="zh-CN"/>
              </w:rPr>
              <w:t>收集</w:t>
            </w:r>
            <w:r>
              <w:rPr>
                <w:rFonts w:hint="default" w:ascii="Times New Roman" w:hAnsi="Times New Roman" w:eastAsia="宋体" w:cs="Times New Roman"/>
                <w:color w:val="000000"/>
                <w:spacing w:val="0"/>
                <w:position w:val="0"/>
                <w:sz w:val="24"/>
                <w:szCs w:val="24"/>
              </w:rPr>
              <w:t>至</w:t>
            </w:r>
            <w:r>
              <w:rPr>
                <w:rFonts w:hint="default" w:ascii="Times New Roman" w:hAnsi="Times New Roman" w:eastAsia="宋体" w:cs="Times New Roman"/>
                <w:b w:val="0"/>
                <w:bCs w:val="0"/>
                <w:color w:val="000000"/>
                <w:sz w:val="24"/>
                <w:szCs w:val="24"/>
                <w:lang w:val="en-US" w:eastAsia="zh-CN"/>
              </w:rPr>
              <w:t>平台废水循环利用处理站</w:t>
            </w:r>
            <w:r>
              <w:rPr>
                <w:rFonts w:hint="default" w:ascii="Times New Roman" w:hAnsi="Times New Roman" w:eastAsia="宋体" w:cs="Times New Roman"/>
                <w:color w:val="000000"/>
                <w:spacing w:val="0"/>
                <w:position w:val="0"/>
                <w:sz w:val="24"/>
                <w:szCs w:val="24"/>
                <w:lang w:eastAsia="zh-CN"/>
              </w:rPr>
              <w:t>（沉淀</w:t>
            </w:r>
            <w:r>
              <w:rPr>
                <w:rFonts w:hint="default" w:ascii="Times New Roman" w:hAnsi="Times New Roman" w:eastAsia="宋体" w:cs="Times New Roman"/>
                <w:color w:val="000000"/>
                <w:spacing w:val="0"/>
                <w:position w:val="0"/>
                <w:sz w:val="24"/>
                <w:szCs w:val="24"/>
                <w:lang w:val="en-US" w:eastAsia="zh-CN"/>
              </w:rPr>
              <w:t>+压滤</w:t>
            </w:r>
            <w:r>
              <w:rPr>
                <w:rFonts w:hint="default" w:ascii="Times New Roman" w:hAnsi="Times New Roman" w:eastAsia="宋体" w:cs="Times New Roman"/>
                <w:color w:val="000000"/>
                <w:spacing w:val="0"/>
                <w:position w:val="0"/>
                <w:sz w:val="24"/>
                <w:szCs w:val="24"/>
                <w:lang w:eastAsia="zh-CN"/>
              </w:rPr>
              <w:t>）</w:t>
            </w:r>
            <w:r>
              <w:rPr>
                <w:rFonts w:hint="default" w:ascii="Times New Roman" w:hAnsi="Times New Roman" w:eastAsia="宋体" w:cs="Times New Roman"/>
                <w:b w:val="0"/>
                <w:bCs w:val="0"/>
                <w:color w:val="000000"/>
                <w:sz w:val="24"/>
                <w:szCs w:val="24"/>
                <w:lang w:val="en-US" w:eastAsia="zh-CN"/>
              </w:rPr>
              <w:t>处理后回用，开采平台外裸露边坡和道路的雨水由雨水收集池和后备雨水池收集处理后回用于生产。生活污水</w:t>
            </w:r>
            <w:r>
              <w:rPr>
                <w:rFonts w:hint="default" w:ascii="Times New Roman" w:hAnsi="Times New Roman" w:eastAsia="宋体" w:cs="Times New Roman"/>
                <w:color w:val="000000"/>
                <w:spacing w:val="0"/>
                <w:position w:val="0"/>
                <w:sz w:val="24"/>
                <w:szCs w:val="24"/>
              </w:rPr>
              <w:t>经</w:t>
            </w:r>
            <w:r>
              <w:rPr>
                <w:rFonts w:hint="default" w:ascii="Times New Roman" w:hAnsi="Times New Roman" w:eastAsia="宋体" w:cs="Times New Roman"/>
                <w:color w:val="000000"/>
                <w:spacing w:val="0"/>
                <w:position w:val="0"/>
                <w:sz w:val="24"/>
                <w:szCs w:val="24"/>
                <w:lang w:val="en-US" w:eastAsia="zh-CN"/>
              </w:rPr>
              <w:t>一体化系统</w:t>
            </w:r>
            <w:r>
              <w:rPr>
                <w:rFonts w:hint="default" w:ascii="Times New Roman" w:hAnsi="Times New Roman" w:eastAsia="宋体" w:cs="Times New Roman"/>
                <w:color w:val="000000"/>
                <w:spacing w:val="0"/>
                <w:position w:val="0"/>
                <w:sz w:val="24"/>
                <w:szCs w:val="24"/>
              </w:rPr>
              <w:t>处理后</w:t>
            </w:r>
            <w:r>
              <w:rPr>
                <w:rFonts w:hint="default" w:ascii="Times New Roman" w:hAnsi="Times New Roman" w:eastAsia="宋体" w:cs="Times New Roman"/>
                <w:color w:val="000000"/>
                <w:spacing w:val="0"/>
                <w:position w:val="0"/>
                <w:sz w:val="24"/>
                <w:szCs w:val="24"/>
                <w:lang w:eastAsia="zh-CN"/>
              </w:rPr>
              <w:t>回用生产</w:t>
            </w:r>
            <w:r>
              <w:rPr>
                <w:rFonts w:hint="default" w:ascii="Times New Roman" w:hAnsi="Times New Roman" w:eastAsia="宋体" w:cs="Times New Roman"/>
                <w:color w:val="000000"/>
                <w:spacing w:val="0"/>
                <w:position w:val="0"/>
                <w:sz w:val="24"/>
                <w:szCs w:val="24"/>
              </w:rPr>
              <w:t>。</w:t>
            </w:r>
          </w:p>
          <w:p w14:paraId="3E84A4CF">
            <w:pPr>
              <w:widowControl/>
              <w:tabs>
                <w:tab w:val="left" w:pos="1680"/>
                <w:tab w:val="left" w:pos="8607"/>
              </w:tabs>
              <w:snapToGrid w:val="0"/>
              <w:spacing w:after="0" w:line="360" w:lineRule="auto"/>
              <w:ind w:firstLine="470" w:firstLineChars="196"/>
              <w:contextualSpacing w:val="0"/>
              <w:jc w:val="left"/>
              <w:outlineLvl w:val="9"/>
              <w:rPr>
                <w:rFonts w:hint="eastAsia" w:ascii="Times New Roman" w:hAnsi="Times New Roman" w:eastAsia="宋体" w:cs="Times New Roman"/>
                <w:color w:val="auto"/>
                <w:sz w:val="24"/>
                <w:szCs w:val="24"/>
                <w:lang w:eastAsia="zh-CN"/>
              </w:rPr>
            </w:pPr>
            <w:r>
              <w:rPr>
                <w:rFonts w:hint="eastAsia" w:cs="Times New Roman"/>
                <w:b w:val="0"/>
                <w:bCs w:val="0"/>
                <w:color w:val="000000"/>
                <w:sz w:val="24"/>
                <w:szCs w:val="24"/>
                <w:lang w:val="en-US" w:eastAsia="zh-CN"/>
              </w:rPr>
              <w:t>C8区块</w:t>
            </w:r>
            <w:r>
              <w:rPr>
                <w:rFonts w:hint="default" w:ascii="Times New Roman" w:hAnsi="Times New Roman" w:eastAsia="宋体" w:cs="Times New Roman"/>
                <w:color w:val="000000"/>
                <w:spacing w:val="0"/>
                <w:position w:val="0"/>
                <w:sz w:val="24"/>
                <w:szCs w:val="24"/>
                <w:lang w:eastAsia="zh-CN"/>
              </w:rPr>
              <w:t>现有</w:t>
            </w:r>
            <w:r>
              <w:rPr>
                <w:rFonts w:hint="default" w:ascii="Times New Roman" w:hAnsi="Times New Roman" w:eastAsia="宋体" w:cs="Times New Roman"/>
                <w:b w:val="0"/>
                <w:bCs w:val="0"/>
                <w:color w:val="000000"/>
                <w:sz w:val="24"/>
                <w:szCs w:val="24"/>
                <w:lang w:val="en-US" w:eastAsia="zh-CN"/>
              </w:rPr>
              <w:t>现有平台废水循环利用处理站处理能力</w:t>
            </w:r>
            <w:r>
              <w:rPr>
                <w:rFonts w:hint="default" w:ascii="Times New Roman" w:hAnsi="Times New Roman" w:eastAsia="宋体" w:cs="Times New Roman"/>
                <w:color w:val="000000"/>
                <w:kern w:val="2"/>
                <w:sz w:val="24"/>
                <w:szCs w:val="24"/>
                <w:lang w:val="en-US" w:eastAsia="zh-CN" w:bidi="ar"/>
              </w:rPr>
              <w:t>为</w:t>
            </w:r>
            <w:r>
              <w:rPr>
                <w:rFonts w:hint="eastAsia" w:ascii="Times New Roman" w:hAnsi="Times New Roman" w:eastAsia="宋体" w:cs="Times New Roman"/>
                <w:color w:val="000000"/>
                <w:kern w:val="2"/>
                <w:sz w:val="24"/>
                <w:szCs w:val="24"/>
                <w:lang w:val="en-US" w:eastAsia="zh-CN" w:bidi="ar"/>
              </w:rPr>
              <w:t>18000</w:t>
            </w:r>
            <w:r>
              <w:rPr>
                <w:rFonts w:hint="default" w:ascii="Times New Roman" w:hAnsi="Times New Roman" w:eastAsia="宋体" w:cs="Times New Roman"/>
                <w:color w:val="000000"/>
                <w:kern w:val="2"/>
                <w:sz w:val="24"/>
                <w:szCs w:val="24"/>
                <w:lang w:val="en-US" w:eastAsia="zh-CN" w:bidi="ar"/>
              </w:rPr>
              <w:t>吨/日，</w:t>
            </w:r>
            <w:r>
              <w:rPr>
                <w:rFonts w:hint="default" w:ascii="Times New Roman" w:hAnsi="Times New Roman" w:eastAsia="宋体" w:cs="Times New Roman"/>
                <w:b w:val="0"/>
                <w:bCs w:val="0"/>
                <w:color w:val="000000"/>
                <w:sz w:val="24"/>
                <w:szCs w:val="24"/>
                <w:lang w:val="en-US" w:eastAsia="zh-CN"/>
              </w:rPr>
              <w:t>处理工艺是沉淀和压滤。现有生活污水一体化污水处理设备处理能力为</w:t>
            </w:r>
            <w:r>
              <w:rPr>
                <w:rFonts w:hint="eastAsia" w:cs="Times New Roman"/>
                <w:b w:val="0"/>
                <w:bCs w:val="0"/>
                <w:color w:val="000000"/>
                <w:sz w:val="24"/>
                <w:szCs w:val="24"/>
                <w:lang w:val="en-US" w:eastAsia="zh-CN"/>
              </w:rPr>
              <w:t>60</w:t>
            </w:r>
            <w:r>
              <w:rPr>
                <w:rFonts w:hint="default" w:ascii="Times New Roman" w:hAnsi="Times New Roman" w:eastAsia="宋体" w:cs="Times New Roman"/>
                <w:b w:val="0"/>
                <w:bCs w:val="0"/>
                <w:color w:val="000000"/>
                <w:sz w:val="24"/>
                <w:szCs w:val="24"/>
                <w:lang w:val="en-US" w:eastAsia="zh-CN"/>
              </w:rPr>
              <w:t>m</w:t>
            </w:r>
            <w:r>
              <w:rPr>
                <w:rFonts w:hint="default" w:ascii="Times New Roman" w:hAnsi="Times New Roman" w:eastAsia="宋体" w:cs="Times New Roman"/>
                <w:b w:val="0"/>
                <w:bCs w:val="0"/>
                <w:color w:val="000000"/>
                <w:sz w:val="24"/>
                <w:szCs w:val="24"/>
                <w:vertAlign w:val="superscript"/>
                <w:lang w:val="en-US" w:eastAsia="zh-CN"/>
              </w:rPr>
              <w:t>3</w:t>
            </w:r>
            <w:r>
              <w:rPr>
                <w:rFonts w:hint="default" w:ascii="Times New Roman" w:hAnsi="Times New Roman" w:eastAsia="宋体" w:cs="Times New Roman"/>
                <w:b w:val="0"/>
                <w:bCs w:val="0"/>
                <w:color w:val="000000"/>
                <w:sz w:val="24"/>
                <w:szCs w:val="24"/>
                <w:lang w:val="en-US" w:eastAsia="zh-CN"/>
              </w:rPr>
              <w:t>/d，处理工艺为A/O。</w:t>
            </w:r>
          </w:p>
          <w:p w14:paraId="7AED54B1">
            <w:pPr>
              <w:tabs>
                <w:tab w:val="left" w:pos="1680"/>
                <w:tab w:val="left" w:pos="8607"/>
              </w:tabs>
              <w:snapToGrid w:val="0"/>
              <w:spacing w:line="360" w:lineRule="auto"/>
              <w:ind w:firstLine="480" w:firstLineChars="200"/>
              <w:jc w:val="left"/>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生产废水经由污水排水沟收集至矿区污水收集池沉淀处理后回用生产；生活污水经一体化系统处理后回用生产。</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4"/>
              <w:gridCol w:w="4585"/>
            </w:tblGrid>
            <w:tr w14:paraId="508BB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0" w:type="dxa"/>
                  <w:noWrap w:val="0"/>
                  <w:vAlign w:val="center"/>
                </w:tcPr>
                <w:p w14:paraId="55596F6D">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bidi="zh-CN"/>
                    </w:rPr>
                  </w:pPr>
                  <w:r>
                    <w:rPr>
                      <w:rFonts w:hint="eastAsia" w:ascii="Times New Roman" w:hAnsi="Times New Roman" w:eastAsia="宋体" w:cs="Times New Roman"/>
                      <w:b/>
                      <w:bCs/>
                      <w:color w:val="auto"/>
                      <w:sz w:val="21"/>
                      <w:szCs w:val="21"/>
                      <w:vertAlign w:val="baseline"/>
                      <w:lang w:val="en-US" w:eastAsia="zh-CN" w:bidi="zh-CN"/>
                    </w:rPr>
                    <w:drawing>
                      <wp:inline distT="0" distB="0" distL="114300" distR="114300">
                        <wp:extent cx="2792730" cy="1965960"/>
                        <wp:effectExtent l="0" t="0" r="7620" b="15240"/>
                        <wp:docPr id="21" name="图片 21" descr="IMG_20240522_1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0522_110201"/>
                                <pic:cNvPicPr>
                                  <a:picLocks noChangeAspect="1"/>
                                </pic:cNvPicPr>
                              </pic:nvPicPr>
                              <pic:blipFill>
                                <a:blip r:embed="rId41"/>
                                <a:srcRect r="22407"/>
                                <a:stretch>
                                  <a:fillRect/>
                                </a:stretch>
                              </pic:blipFill>
                              <pic:spPr>
                                <a:xfrm>
                                  <a:off x="0" y="0"/>
                                  <a:ext cx="2792730" cy="1965960"/>
                                </a:xfrm>
                                <a:prstGeom prst="rect">
                                  <a:avLst/>
                                </a:prstGeom>
                              </pic:spPr>
                            </pic:pic>
                          </a:graphicData>
                        </a:graphic>
                      </wp:inline>
                    </w:drawing>
                  </w:r>
                </w:p>
              </w:tc>
              <w:tc>
                <w:tcPr>
                  <w:tcW w:w="4600" w:type="dxa"/>
                  <w:noWrap w:val="0"/>
                  <w:vAlign w:val="center"/>
                </w:tcPr>
                <w:p w14:paraId="41BEA4CE">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bidi="zh-CN"/>
                    </w:rPr>
                  </w:pPr>
                  <w:r>
                    <w:rPr>
                      <w:rFonts w:hint="eastAsia" w:ascii="Times New Roman" w:hAnsi="Times New Roman" w:eastAsia="宋体" w:cs="Times New Roman"/>
                      <w:b/>
                      <w:bCs/>
                      <w:color w:val="auto"/>
                      <w:sz w:val="21"/>
                      <w:szCs w:val="21"/>
                      <w:vertAlign w:val="baseline"/>
                      <w:lang w:val="en-US" w:eastAsia="zh-CN" w:bidi="zh-CN"/>
                    </w:rPr>
                    <w:drawing>
                      <wp:inline distT="0" distB="0" distL="114300" distR="114300">
                        <wp:extent cx="2637790" cy="2026920"/>
                        <wp:effectExtent l="0" t="0" r="10160" b="11430"/>
                        <wp:docPr id="22" name="图片 22" descr="IMG_20240522_09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0522_094448"/>
                                <pic:cNvPicPr>
                                  <a:picLocks noChangeAspect="1"/>
                                </pic:cNvPicPr>
                              </pic:nvPicPr>
                              <pic:blipFill>
                                <a:blip r:embed="rId42"/>
                                <a:srcRect l="9940" r="16828"/>
                                <a:stretch>
                                  <a:fillRect/>
                                </a:stretch>
                              </pic:blipFill>
                              <pic:spPr>
                                <a:xfrm>
                                  <a:off x="0" y="0"/>
                                  <a:ext cx="2637790" cy="2026920"/>
                                </a:xfrm>
                                <a:prstGeom prst="rect">
                                  <a:avLst/>
                                </a:prstGeom>
                              </pic:spPr>
                            </pic:pic>
                          </a:graphicData>
                        </a:graphic>
                      </wp:inline>
                    </w:drawing>
                  </w:r>
                </w:p>
              </w:tc>
            </w:tr>
            <w:tr w14:paraId="3C43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0" w:type="dxa"/>
                  <w:noWrap w:val="0"/>
                  <w:vAlign w:val="center"/>
                </w:tcPr>
                <w:p w14:paraId="21C413FE">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eastAsia" w:ascii="Times New Roman" w:hAnsi="Times New Roman" w:eastAsia="宋体" w:cs="Times New Roman"/>
                      <w:b/>
                      <w:bCs/>
                      <w:color w:val="auto"/>
                      <w:sz w:val="21"/>
                      <w:szCs w:val="21"/>
                      <w:vertAlign w:val="baseline"/>
                      <w:lang w:val="en-US" w:eastAsia="zh-CN" w:bidi="zh-CN"/>
                    </w:rPr>
                    <w:t>废水收集池</w:t>
                  </w:r>
                </w:p>
              </w:tc>
              <w:tc>
                <w:tcPr>
                  <w:tcW w:w="4600" w:type="dxa"/>
                  <w:noWrap w:val="0"/>
                  <w:vAlign w:val="center"/>
                </w:tcPr>
                <w:p w14:paraId="4667168F">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eastAsia" w:ascii="Times New Roman" w:hAnsi="Times New Roman" w:eastAsia="宋体" w:cs="Times New Roman"/>
                      <w:b/>
                      <w:bCs/>
                      <w:color w:val="auto"/>
                      <w:sz w:val="21"/>
                      <w:szCs w:val="21"/>
                      <w:vertAlign w:val="baseline"/>
                      <w:lang w:val="en-US" w:eastAsia="zh-CN" w:bidi="zh-CN"/>
                    </w:rPr>
                    <w:t>压滤机</w:t>
                  </w:r>
                </w:p>
              </w:tc>
            </w:tr>
            <w:tr w14:paraId="2DBD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0" w:type="dxa"/>
                  <w:noWrap w:val="0"/>
                  <w:vAlign w:val="center"/>
                </w:tcPr>
                <w:p w14:paraId="7C66F59F">
                  <w:pPr>
                    <w:keepNext w:val="0"/>
                    <w:keepLines w:val="0"/>
                    <w:pageBreakBefore w:val="0"/>
                    <w:widowControl w:val="0"/>
                    <w:tabs>
                      <w:tab w:val="left" w:pos="1680"/>
                      <w:tab w:val="left" w:pos="8607"/>
                    </w:tabs>
                    <w:kinsoku/>
                    <w:wordWrap/>
                    <w:overflowPunct/>
                    <w:topLinePunct w:val="0"/>
                    <w:autoSpaceDE w:val="0"/>
                    <w:autoSpaceDN w:val="0"/>
                    <w:bidi w:val="0"/>
                    <w:adjustRightInd/>
                    <w:snapToGrid w:val="0"/>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bidi="zh-CN"/>
                    </w:rPr>
                  </w:pPr>
                  <w:r>
                    <w:rPr>
                      <w:rFonts w:hint="eastAsia" w:ascii="Times New Roman" w:hAnsi="Times New Roman" w:eastAsia="宋体" w:cs="Times New Roman"/>
                      <w:b/>
                      <w:bCs/>
                      <w:color w:val="auto"/>
                      <w:sz w:val="21"/>
                      <w:szCs w:val="21"/>
                      <w:vertAlign w:val="baseline"/>
                      <w:lang w:val="en-US" w:eastAsia="zh-CN" w:bidi="zh-CN"/>
                    </w:rPr>
                    <w:drawing>
                      <wp:inline distT="0" distB="0" distL="114300" distR="114300">
                        <wp:extent cx="1879600" cy="2393315"/>
                        <wp:effectExtent l="0" t="0" r="3810" b="9525"/>
                        <wp:docPr id="23" name="图片 23" descr="IMG_20240522_09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0522_094541"/>
                                <pic:cNvPicPr>
                                  <a:picLocks noChangeAspect="1"/>
                                </pic:cNvPicPr>
                              </pic:nvPicPr>
                              <pic:blipFill>
                                <a:blip r:embed="rId43"/>
                                <a:srcRect l="9932" t="22570" r="22489" b="38710"/>
                                <a:stretch>
                                  <a:fillRect/>
                                </a:stretch>
                              </pic:blipFill>
                              <pic:spPr>
                                <a:xfrm rot="16200000">
                                  <a:off x="0" y="0"/>
                                  <a:ext cx="1879600" cy="2393315"/>
                                </a:xfrm>
                                <a:prstGeom prst="rect">
                                  <a:avLst/>
                                </a:prstGeom>
                              </pic:spPr>
                            </pic:pic>
                          </a:graphicData>
                        </a:graphic>
                      </wp:inline>
                    </w:drawing>
                  </w:r>
                </w:p>
              </w:tc>
              <w:tc>
                <w:tcPr>
                  <w:tcW w:w="4600" w:type="dxa"/>
                  <w:noWrap w:val="0"/>
                  <w:vAlign w:val="center"/>
                </w:tcPr>
                <w:p w14:paraId="693A2C85">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bidi="zh-CN"/>
                    </w:rPr>
                  </w:pPr>
                  <w:r>
                    <w:rPr>
                      <w:rFonts w:hint="eastAsia" w:ascii="Times New Roman" w:hAnsi="Times New Roman" w:eastAsia="宋体" w:cs="Times New Roman"/>
                      <w:b/>
                      <w:bCs/>
                      <w:color w:val="auto"/>
                      <w:sz w:val="21"/>
                      <w:szCs w:val="21"/>
                      <w:vertAlign w:val="baseline"/>
                      <w:lang w:val="en-US" w:eastAsia="zh-CN" w:bidi="zh-CN"/>
                    </w:rPr>
                    <w:drawing>
                      <wp:inline distT="0" distB="0" distL="114300" distR="114300">
                        <wp:extent cx="2786380" cy="1698625"/>
                        <wp:effectExtent l="0" t="0" r="7620" b="0"/>
                        <wp:docPr id="24" name="图片 24" descr="IMG_20240522_09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0522_091740"/>
                                <pic:cNvPicPr>
                                  <a:picLocks noChangeAspect="1"/>
                                </pic:cNvPicPr>
                              </pic:nvPicPr>
                              <pic:blipFill>
                                <a:blip r:embed="rId44"/>
                                <a:srcRect r="26165"/>
                                <a:stretch>
                                  <a:fillRect/>
                                </a:stretch>
                              </pic:blipFill>
                              <pic:spPr>
                                <a:xfrm>
                                  <a:off x="0" y="0"/>
                                  <a:ext cx="2786380" cy="1698625"/>
                                </a:xfrm>
                                <a:prstGeom prst="rect">
                                  <a:avLst/>
                                </a:prstGeom>
                              </pic:spPr>
                            </pic:pic>
                          </a:graphicData>
                        </a:graphic>
                      </wp:inline>
                    </w:drawing>
                  </w:r>
                </w:p>
              </w:tc>
            </w:tr>
            <w:tr w14:paraId="0A3E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0" w:type="dxa"/>
                  <w:noWrap w:val="0"/>
                  <w:vAlign w:val="center"/>
                </w:tcPr>
                <w:p w14:paraId="61858BDB">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eastAsia" w:cs="Times New Roman"/>
                      <w:b/>
                      <w:bCs/>
                      <w:color w:val="auto"/>
                      <w:sz w:val="21"/>
                      <w:szCs w:val="21"/>
                      <w:vertAlign w:val="baseline"/>
                      <w:lang w:val="en-US" w:eastAsia="zh-CN" w:bidi="zh-CN"/>
                    </w:rPr>
                    <w:t>净水剂</w:t>
                  </w:r>
                </w:p>
              </w:tc>
              <w:tc>
                <w:tcPr>
                  <w:tcW w:w="4600" w:type="dxa"/>
                  <w:noWrap w:val="0"/>
                  <w:vAlign w:val="center"/>
                </w:tcPr>
                <w:p w14:paraId="654FA83F">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eastAsia" w:cs="Times New Roman"/>
                      <w:b/>
                      <w:bCs/>
                      <w:color w:val="auto"/>
                      <w:sz w:val="21"/>
                      <w:szCs w:val="21"/>
                      <w:vertAlign w:val="baseline"/>
                      <w:lang w:val="en-US" w:eastAsia="zh-CN" w:bidi="zh-CN"/>
                    </w:rPr>
                    <w:t>生活污水一体化处理设备</w:t>
                  </w:r>
                </w:p>
              </w:tc>
            </w:tr>
          </w:tbl>
          <w:p w14:paraId="322AADF6">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afterLines="50" w:line="240" w:lineRule="auto"/>
              <w:jc w:val="center"/>
              <w:textAlignment w:val="auto"/>
              <w:rPr>
                <w:rFonts w:hint="default" w:ascii="Times New Roman" w:hAnsi="Times New Roman" w:cs="Times New Roman"/>
                <w:color w:val="000000"/>
                <w:sz w:val="24"/>
              </w:rPr>
            </w:pPr>
            <w:r>
              <w:rPr>
                <w:rFonts w:hint="default" w:ascii="Times New Roman" w:hAnsi="Times New Roman" w:cs="Times New Roman"/>
                <w:b/>
                <w:bCs/>
                <w:sz w:val="24"/>
                <w:vertAlign w:val="baseline"/>
                <w:lang w:val="en-US" w:eastAsia="zh-CN"/>
              </w:rPr>
              <w:t>图4-</w:t>
            </w:r>
            <w:r>
              <w:rPr>
                <w:rFonts w:hint="eastAsia" w:cs="Times New Roman"/>
                <w:b/>
                <w:bCs/>
                <w:sz w:val="24"/>
                <w:vertAlign w:val="baseline"/>
                <w:lang w:val="en-US" w:eastAsia="zh-CN"/>
              </w:rPr>
              <w:t>14</w:t>
            </w:r>
            <w:r>
              <w:rPr>
                <w:rFonts w:hint="default" w:ascii="Times New Roman" w:hAnsi="Times New Roman" w:cs="Times New Roman"/>
                <w:b/>
                <w:bCs/>
                <w:sz w:val="24"/>
                <w:vertAlign w:val="baseline"/>
                <w:lang w:val="en-US" w:eastAsia="zh-CN"/>
              </w:rPr>
              <w:t xml:space="preserve">  项目</w:t>
            </w:r>
            <w:r>
              <w:rPr>
                <w:rFonts w:hint="eastAsia" w:ascii="Times New Roman" w:hAnsi="Times New Roman" w:cs="Times New Roman"/>
                <w:b/>
                <w:bCs/>
                <w:sz w:val="24"/>
                <w:vertAlign w:val="baseline"/>
                <w:lang w:val="en-US" w:eastAsia="zh-CN"/>
              </w:rPr>
              <w:t>运营期废水</w:t>
            </w:r>
            <w:r>
              <w:rPr>
                <w:rFonts w:hint="default" w:ascii="Times New Roman" w:hAnsi="Times New Roman" w:cs="Times New Roman"/>
                <w:b/>
                <w:bCs/>
                <w:sz w:val="24"/>
                <w:vertAlign w:val="baseline"/>
                <w:lang w:val="en-US" w:eastAsia="zh-CN"/>
              </w:rPr>
              <w:t>防治措施图</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2"/>
              <w:gridCol w:w="4597"/>
            </w:tblGrid>
            <w:tr w14:paraId="5A64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0" w:type="dxa"/>
                  <w:noWrap w:val="0"/>
                  <w:vAlign w:val="center"/>
                </w:tcPr>
                <w:p w14:paraId="2588A8B0">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eastAsia="宋体" w:cs="Times New Roman"/>
                      <w:b/>
                      <w:bCs/>
                      <w:color w:val="auto"/>
                      <w:sz w:val="21"/>
                      <w:szCs w:val="21"/>
                      <w:vertAlign w:val="baseline"/>
                      <w:lang w:val="en-US" w:eastAsia="zh-CN" w:bidi="zh-CN"/>
                    </w:rPr>
                    <w:drawing>
                      <wp:inline distT="0" distB="0" distL="114300" distR="114300">
                        <wp:extent cx="2734310" cy="2024380"/>
                        <wp:effectExtent l="0" t="0" r="0" b="0"/>
                        <wp:docPr id="25" name="图片 25" descr="IMG_20240522_11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0522_110352"/>
                                <pic:cNvPicPr>
                                  <a:picLocks noChangeAspect="1"/>
                                </pic:cNvPicPr>
                              </pic:nvPicPr>
                              <pic:blipFill>
                                <a:blip r:embed="rId45"/>
                                <a:srcRect t="40688" b="25993"/>
                                <a:stretch>
                                  <a:fillRect/>
                                </a:stretch>
                              </pic:blipFill>
                              <pic:spPr>
                                <a:xfrm>
                                  <a:off x="0" y="0"/>
                                  <a:ext cx="2734310" cy="2024380"/>
                                </a:xfrm>
                                <a:prstGeom prst="rect">
                                  <a:avLst/>
                                </a:prstGeom>
                              </pic:spPr>
                            </pic:pic>
                          </a:graphicData>
                        </a:graphic>
                      </wp:inline>
                    </w:drawing>
                  </w:r>
                </w:p>
              </w:tc>
              <w:tc>
                <w:tcPr>
                  <w:tcW w:w="4620" w:type="dxa"/>
                  <w:noWrap w:val="0"/>
                  <w:vAlign w:val="center"/>
                </w:tcPr>
                <w:p w14:paraId="45722206">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drawing>
                      <wp:inline distT="0" distB="0" distL="114300" distR="114300">
                        <wp:extent cx="2757805" cy="1905000"/>
                        <wp:effectExtent l="0" t="0" r="0" b="0"/>
                        <wp:docPr id="26" name="图片 26" descr="IMG_20240522_1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40522_110304"/>
                                <pic:cNvPicPr>
                                  <a:picLocks noChangeAspect="1"/>
                                </pic:cNvPicPr>
                              </pic:nvPicPr>
                              <pic:blipFill>
                                <a:blip r:embed="rId46"/>
                                <a:srcRect t="27479" b="41436"/>
                                <a:stretch>
                                  <a:fillRect/>
                                </a:stretch>
                              </pic:blipFill>
                              <pic:spPr>
                                <a:xfrm>
                                  <a:off x="0" y="0"/>
                                  <a:ext cx="2757805" cy="1905000"/>
                                </a:xfrm>
                                <a:prstGeom prst="rect">
                                  <a:avLst/>
                                </a:prstGeom>
                              </pic:spPr>
                            </pic:pic>
                          </a:graphicData>
                        </a:graphic>
                      </wp:inline>
                    </w:drawing>
                  </w:r>
                </w:p>
              </w:tc>
            </w:tr>
            <w:tr w14:paraId="6FE1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0" w:type="dxa"/>
                  <w:noWrap w:val="0"/>
                  <w:vAlign w:val="center"/>
                </w:tcPr>
                <w:p w14:paraId="15A2D3DF">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eastAsia" w:ascii="Times New Roman" w:hAnsi="Times New Roman" w:eastAsia="宋体" w:cs="Times New Roman"/>
                      <w:b/>
                      <w:bCs/>
                      <w:color w:val="auto"/>
                      <w:sz w:val="21"/>
                      <w:szCs w:val="21"/>
                      <w:vertAlign w:val="baseline"/>
                      <w:lang w:val="en-US" w:eastAsia="zh-CN" w:bidi="zh-CN"/>
                    </w:rPr>
                    <w:t>采区</w:t>
                  </w:r>
                  <w:r>
                    <w:rPr>
                      <w:rFonts w:hint="default" w:ascii="Times New Roman" w:hAnsi="Times New Roman" w:eastAsia="宋体" w:cs="Times New Roman"/>
                      <w:b/>
                      <w:bCs/>
                      <w:color w:val="auto"/>
                      <w:sz w:val="21"/>
                      <w:szCs w:val="21"/>
                      <w:vertAlign w:val="baseline"/>
                      <w:lang w:val="en-US" w:eastAsia="zh-CN" w:bidi="zh-CN"/>
                    </w:rPr>
                    <w:t>外围截洪沟</w:t>
                  </w:r>
                </w:p>
              </w:tc>
              <w:tc>
                <w:tcPr>
                  <w:tcW w:w="4620" w:type="dxa"/>
                  <w:noWrap w:val="0"/>
                  <w:vAlign w:val="center"/>
                </w:tcPr>
                <w:p w14:paraId="00952C93">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color w:val="000000"/>
                      <w:sz w:val="24"/>
                      <w:highlight w:val="none"/>
                      <w:lang w:val="en-US" w:eastAsia="zh-CN"/>
                    </w:rPr>
                  </w:pPr>
                  <w:r>
                    <w:rPr>
                      <w:rFonts w:hint="default" w:ascii="Times New Roman" w:hAnsi="Times New Roman" w:eastAsia="宋体" w:cs="Times New Roman"/>
                      <w:b/>
                      <w:bCs/>
                      <w:color w:val="auto"/>
                      <w:sz w:val="21"/>
                      <w:szCs w:val="21"/>
                      <w:vertAlign w:val="baseline"/>
                      <w:lang w:val="en-US" w:eastAsia="zh-CN" w:bidi="zh-CN"/>
                    </w:rPr>
                    <w:t>沉淀池</w:t>
                  </w:r>
                </w:p>
              </w:tc>
            </w:tr>
          </w:tbl>
          <w:p w14:paraId="05F1AD3C">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afterLines="50" w:line="240" w:lineRule="auto"/>
              <w:jc w:val="center"/>
              <w:textAlignment w:val="auto"/>
              <w:rPr>
                <w:rFonts w:hint="default" w:ascii="Times New Roman" w:hAnsi="Times New Roman" w:eastAsia="宋体" w:cs="Times New Roman"/>
                <w:sz w:val="24"/>
                <w:szCs w:val="24"/>
                <w:lang w:val="en-US" w:eastAsia="zh-CN" w:bidi="zh-CN"/>
              </w:rPr>
            </w:pPr>
            <w:r>
              <w:rPr>
                <w:rFonts w:hint="default" w:ascii="Times New Roman" w:hAnsi="Times New Roman" w:cs="Times New Roman"/>
                <w:b/>
                <w:bCs/>
                <w:sz w:val="24"/>
                <w:vertAlign w:val="baseline"/>
                <w:lang w:val="en-US" w:eastAsia="zh-CN"/>
              </w:rPr>
              <w:t>图4-</w:t>
            </w:r>
            <w:r>
              <w:rPr>
                <w:rFonts w:hint="eastAsia" w:cs="Times New Roman"/>
                <w:b/>
                <w:bCs/>
                <w:sz w:val="24"/>
                <w:vertAlign w:val="baseline"/>
                <w:lang w:val="en-US" w:eastAsia="zh-CN"/>
              </w:rPr>
              <w:t>15</w:t>
            </w:r>
            <w:r>
              <w:rPr>
                <w:rFonts w:hint="default" w:ascii="Times New Roman" w:hAnsi="Times New Roman" w:cs="Times New Roman"/>
                <w:b/>
                <w:bCs/>
                <w:sz w:val="24"/>
                <w:vertAlign w:val="baseline"/>
                <w:lang w:val="en-US" w:eastAsia="zh-CN"/>
              </w:rPr>
              <w:t xml:space="preserve">  项目</w:t>
            </w:r>
            <w:r>
              <w:rPr>
                <w:rFonts w:hint="eastAsia" w:ascii="Times New Roman" w:hAnsi="Times New Roman" w:cs="Times New Roman"/>
                <w:b/>
                <w:bCs/>
                <w:sz w:val="24"/>
                <w:vertAlign w:val="baseline"/>
                <w:lang w:val="en-US" w:eastAsia="zh-CN"/>
              </w:rPr>
              <w:t>运营期雨水处置</w:t>
            </w:r>
            <w:r>
              <w:rPr>
                <w:rFonts w:hint="default" w:ascii="Times New Roman" w:hAnsi="Times New Roman" w:cs="Times New Roman"/>
                <w:b/>
                <w:bCs/>
                <w:sz w:val="24"/>
                <w:vertAlign w:val="baseline"/>
                <w:lang w:val="en-US" w:eastAsia="zh-CN"/>
              </w:rPr>
              <w:t>措施图</w:t>
            </w:r>
          </w:p>
          <w:p w14:paraId="46F3C0F9">
            <w:pPr>
              <w:tabs>
                <w:tab w:val="left" w:pos="1680"/>
                <w:tab w:val="left" w:pos="8607"/>
              </w:tabs>
              <w:snapToGrid w:val="0"/>
              <w:spacing w:line="360" w:lineRule="auto"/>
              <w:ind w:firstLine="470" w:firstLineChars="196"/>
              <w:jc w:val="left"/>
              <w:rPr>
                <w:rFonts w:hint="default" w:ascii="Times New Roman" w:hAnsi="Times New Roman" w:eastAsia="宋体" w:cs="Times New Roman"/>
                <w:sz w:val="24"/>
                <w:szCs w:val="24"/>
                <w:lang w:val="en-US" w:eastAsia="zh-CN" w:bidi="zh-CN"/>
              </w:rPr>
            </w:pPr>
            <w:r>
              <w:rPr>
                <w:rFonts w:hint="eastAsia" w:cs="Times New Roman"/>
                <w:sz w:val="24"/>
                <w:szCs w:val="24"/>
                <w:lang w:val="en-US" w:eastAsia="zh-CN" w:bidi="zh-CN"/>
              </w:rPr>
              <w:t>（3）</w:t>
            </w:r>
            <w:r>
              <w:rPr>
                <w:rFonts w:hint="default" w:ascii="Times New Roman" w:hAnsi="Times New Roman" w:eastAsia="宋体" w:cs="Times New Roman"/>
                <w:sz w:val="24"/>
                <w:szCs w:val="24"/>
                <w:lang w:val="en-US" w:eastAsia="zh-CN" w:bidi="zh-CN"/>
              </w:rPr>
              <w:t>噪声</w:t>
            </w:r>
          </w:p>
          <w:p w14:paraId="562FB4ED">
            <w:pPr>
              <w:pStyle w:val="23"/>
              <w:spacing w:line="360" w:lineRule="auto"/>
              <w:ind w:firstLine="480" w:firstLineChars="200"/>
              <w:jc w:val="both"/>
              <w:rPr>
                <w:rFonts w:hint="default" w:ascii="Times New Roman" w:hAnsi="Times New Roman" w:cs="Times New Roman"/>
                <w:sz w:val="24"/>
                <w:lang w:eastAsia="zh-CN"/>
              </w:rPr>
            </w:pPr>
            <w:r>
              <w:rPr>
                <w:rFonts w:hint="default" w:ascii="Times New Roman" w:hAnsi="Times New Roman" w:cs="Times New Roman"/>
                <w:sz w:val="24"/>
                <w:lang w:val="en-US" w:eastAsia="zh-CN"/>
              </w:rPr>
              <w:t>运营期噪声主要为机械设备噪声</w:t>
            </w:r>
            <w:r>
              <w:rPr>
                <w:rFonts w:hint="eastAsia" w:ascii="Times New Roman" w:hAnsi="Times New Roman" w:cs="Times New Roman"/>
                <w:sz w:val="24"/>
                <w:lang w:val="en-US" w:eastAsia="zh-CN"/>
              </w:rPr>
              <w:t>、运输车辆噪声</w:t>
            </w:r>
            <w:r>
              <w:rPr>
                <w:rFonts w:hint="default" w:ascii="Times New Roman" w:hAnsi="Times New Roman" w:cs="Times New Roman"/>
                <w:sz w:val="24"/>
                <w:lang w:eastAsia="zh-CN"/>
              </w:rPr>
              <w:t>。</w:t>
            </w:r>
          </w:p>
          <w:p w14:paraId="64C6BE7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矿山的开采给当地带来一定的噪声污染，在矿山的生产过程中，应该考虑从声源上降低噪声和从噪声传播途径上降低噪声两个环节，减少项目生产过程对周围声环境的影响。</w:t>
            </w:r>
          </w:p>
          <w:p w14:paraId="486FC16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b w:val="0"/>
                <w:bCs/>
                <w:color w:val="000000"/>
                <w:sz w:val="24"/>
                <w:szCs w:val="24"/>
                <w:u w:val="none"/>
              </w:rPr>
            </w:pPr>
            <w:r>
              <w:rPr>
                <w:rFonts w:hint="default" w:ascii="Times New Roman" w:hAnsi="Times New Roman" w:eastAsia="宋体" w:cs="Times New Roman"/>
                <w:b w:val="0"/>
                <w:bCs/>
                <w:color w:val="000000"/>
                <w:sz w:val="24"/>
                <w:szCs w:val="24"/>
                <w:u w:val="none"/>
                <w:lang w:val="en-US" w:eastAsia="zh-CN"/>
              </w:rPr>
              <w:t>①</w:t>
            </w:r>
            <w:r>
              <w:rPr>
                <w:rFonts w:hint="default" w:ascii="Times New Roman" w:hAnsi="Times New Roman" w:eastAsia="宋体" w:cs="Times New Roman"/>
                <w:b w:val="0"/>
                <w:bCs/>
                <w:color w:val="000000"/>
                <w:sz w:val="24"/>
                <w:szCs w:val="24"/>
                <w:u w:val="none"/>
              </w:rPr>
              <w:t>从声源上降低噪声</w:t>
            </w:r>
          </w:p>
          <w:p w14:paraId="5AF4E3F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通过选用低噪声设备、改进机械设计、维持设备良好的运行状态等来实现。此外，空压机建议于维修车间旁单独设置空压机房；在水泵出口安装柔性接头，等减少噪声的产生。</w:t>
            </w:r>
          </w:p>
          <w:p w14:paraId="0C5680D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b w:val="0"/>
                <w:bCs/>
                <w:color w:val="000000"/>
                <w:sz w:val="24"/>
                <w:szCs w:val="24"/>
                <w:u w:val="none"/>
              </w:rPr>
            </w:pPr>
            <w:r>
              <w:rPr>
                <w:rFonts w:hint="default" w:ascii="Times New Roman" w:hAnsi="Times New Roman" w:eastAsia="宋体" w:cs="Times New Roman"/>
                <w:b w:val="0"/>
                <w:bCs/>
                <w:color w:val="000000"/>
                <w:sz w:val="24"/>
                <w:szCs w:val="24"/>
                <w:u w:val="none"/>
                <w:lang w:val="en-US" w:eastAsia="zh-CN"/>
              </w:rPr>
              <w:t>②</w:t>
            </w:r>
            <w:r>
              <w:rPr>
                <w:rFonts w:hint="default" w:ascii="Times New Roman" w:hAnsi="Times New Roman" w:eastAsia="宋体" w:cs="Times New Roman"/>
                <w:b w:val="0"/>
                <w:bCs/>
                <w:color w:val="000000"/>
                <w:sz w:val="24"/>
                <w:szCs w:val="24"/>
                <w:u w:val="none"/>
              </w:rPr>
              <w:t>在噪声传播途径上降低噪声</w:t>
            </w:r>
          </w:p>
          <w:p w14:paraId="5C20074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采用“闹静分开”和“合理布局”的设计原则使开采工作面与周边敏感点保持足够距离，使噪声敏感区达标。</w:t>
            </w:r>
          </w:p>
          <w:p w14:paraId="11034FD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利用自然地形（如位于噪声源和矿山生活区之间的山丘、土坡、地堑、围墙等）降低噪声。</w:t>
            </w:r>
          </w:p>
          <w:p w14:paraId="0DFA5FC3">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contextualSpacing/>
              <w:textAlignment w:val="auto"/>
              <w:rPr>
                <w:rFonts w:hint="default" w:ascii="Times New Roman" w:hAnsi="Times New Roman" w:eastAsia="宋体" w:cs="Times New Roman"/>
                <w:bCs/>
                <w:color w:val="000000"/>
                <w:sz w:val="24"/>
                <w:szCs w:val="24"/>
                <w:u w:val="none"/>
              </w:rPr>
            </w:pPr>
            <w:r>
              <w:rPr>
                <w:rFonts w:hint="default" w:ascii="Times New Roman" w:hAnsi="Times New Roman" w:eastAsia="宋体" w:cs="Times New Roman"/>
                <w:bCs/>
                <w:color w:val="000000"/>
                <w:sz w:val="24"/>
                <w:szCs w:val="24"/>
                <w:u w:val="none"/>
              </w:rPr>
              <w:t>采取声学控制措施，如对声源（机械设备）采用消声、隔振和减振措施，以降低噪声污染源强，减少声能的向外传播。</w:t>
            </w:r>
          </w:p>
          <w:p w14:paraId="2652071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b w:val="0"/>
                <w:bCs/>
                <w:color w:val="000000"/>
                <w:sz w:val="24"/>
                <w:szCs w:val="24"/>
                <w:u w:val="none"/>
                <w:lang w:eastAsia="zh-CN"/>
              </w:rPr>
            </w:pPr>
            <w:r>
              <w:rPr>
                <w:rFonts w:hint="default" w:ascii="Times New Roman" w:hAnsi="Times New Roman" w:eastAsia="宋体" w:cs="Times New Roman"/>
                <w:b w:val="0"/>
                <w:bCs/>
                <w:color w:val="000000"/>
                <w:sz w:val="24"/>
                <w:szCs w:val="24"/>
                <w:u w:val="none"/>
                <w:lang w:val="en-US" w:eastAsia="zh-CN"/>
              </w:rPr>
              <w:t>③</w:t>
            </w:r>
            <w:r>
              <w:rPr>
                <w:rFonts w:hint="default" w:ascii="Times New Roman" w:hAnsi="Times New Roman" w:eastAsia="宋体" w:cs="Times New Roman"/>
                <w:b w:val="0"/>
                <w:bCs/>
                <w:color w:val="000000"/>
                <w:sz w:val="24"/>
                <w:szCs w:val="24"/>
                <w:u w:val="none"/>
              </w:rPr>
              <w:t>其它噪声</w:t>
            </w:r>
            <w:r>
              <w:rPr>
                <w:rFonts w:hint="default" w:ascii="Times New Roman" w:hAnsi="Times New Roman" w:eastAsia="宋体" w:cs="Times New Roman"/>
                <w:b w:val="0"/>
                <w:bCs/>
                <w:color w:val="000000"/>
                <w:sz w:val="24"/>
                <w:szCs w:val="24"/>
                <w:u w:val="none"/>
                <w:lang w:eastAsia="zh-CN"/>
              </w:rPr>
              <w:t>及振动防治措施</w:t>
            </w:r>
          </w:p>
          <w:p w14:paraId="32B4E0F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矿区所需的设备应选用符合国家标准的各类机械，以便设备投入运行后，产生的噪声能达到国家控制值；</w:t>
            </w:r>
          </w:p>
          <w:p w14:paraId="0E5E2D4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结合矿区终采区生态恢复和绿化，种植一些吸尘、消声能力强的树木，如常绿阔叶乔木、灌木等，组成多层次的降噪屏障，以达到消耗声能，削弱噪声目的。</w:t>
            </w:r>
          </w:p>
          <w:p w14:paraId="768A934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高噪声环境工作人员必须严格按《工业企业噪声卫生标准》规定的工作时间减少连续工作时间，必须配备适用的隔声耳罩、防声头盔等防护用具。</w:t>
            </w:r>
          </w:p>
          <w:p w14:paraId="4041AB3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运输汽车在经过办公生活区和村庄等敏感点时，要限速禁鸣，并分散进出，不得猛踩油门等，并辅以绿化降噪，减少对居民的影响。</w:t>
            </w:r>
          </w:p>
          <w:p w14:paraId="7E8FB4A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矿石运输噪声污染控制措施如下：禁止使用超过噪声限值的运输车辆；对汽车运输机械设备应安装消声器和禁用高音喇叭；机动车辆必须加强维修和保养，保持技术性能良好；合理安排运输车辆工作时间，不得在夜间、休息时间运输。</w:t>
            </w:r>
          </w:p>
          <w:p w14:paraId="454097D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fldChar w:fldCharType="begin"/>
            </w:r>
            <w:r>
              <w:rPr>
                <w:rFonts w:hint="default" w:ascii="Times New Roman" w:hAnsi="Times New Roman" w:eastAsia="宋体" w:cs="Times New Roman"/>
                <w:color w:val="000000"/>
                <w:sz w:val="24"/>
                <w:szCs w:val="24"/>
                <w:lang w:eastAsia="zh-CN"/>
              </w:rPr>
              <w:instrText xml:space="preserve"> = 4 \* GB3 \* MERGEFORMAT </w:instrText>
            </w:r>
            <w:r>
              <w:rPr>
                <w:rFonts w:hint="default" w:ascii="Times New Roman" w:hAnsi="Times New Roman" w:eastAsia="宋体" w:cs="Times New Roman"/>
                <w:color w:val="000000"/>
                <w:sz w:val="24"/>
                <w:szCs w:val="24"/>
                <w:lang w:eastAsia="zh-CN"/>
              </w:rPr>
              <w:fldChar w:fldCharType="separate"/>
            </w:r>
            <w:r>
              <w:t>④</w:t>
            </w:r>
            <w:r>
              <w:rPr>
                <w:rFonts w:hint="default" w:ascii="Times New Roman" w:hAnsi="Times New Roman" w:eastAsia="宋体" w:cs="Times New Roman"/>
                <w:color w:val="000000"/>
                <w:sz w:val="24"/>
                <w:szCs w:val="24"/>
                <w:lang w:eastAsia="zh-CN"/>
              </w:rPr>
              <w:fldChar w:fldCharType="end"/>
            </w:r>
            <w:r>
              <w:rPr>
                <w:rFonts w:hint="default" w:ascii="Times New Roman" w:hAnsi="Times New Roman" w:eastAsia="宋体" w:cs="Times New Roman"/>
                <w:color w:val="000000"/>
                <w:sz w:val="24"/>
                <w:szCs w:val="24"/>
              </w:rPr>
              <w:t>加强施工机械和运输车辆的保养、维护。</w:t>
            </w:r>
          </w:p>
          <w:p w14:paraId="5E01A5E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采取上述措施后，该工程的噪声强度可有效降低，厂界噪声可达到《工业企业厂界环境噪声排放标准》（GBl2348-2008）</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类标准限值。同类工程的实践证明，上述噪声防治措施是可行的</w:t>
            </w:r>
            <w:r>
              <w:rPr>
                <w:rFonts w:hint="default" w:ascii="Times New Roman" w:hAnsi="Times New Roman" w:cs="Times New Roman"/>
                <w:sz w:val="24"/>
                <w:szCs w:val="24"/>
              </w:rPr>
              <w:t>。</w:t>
            </w:r>
          </w:p>
          <w:p w14:paraId="7A998B20">
            <w:pPr>
              <w:tabs>
                <w:tab w:val="left" w:pos="1680"/>
                <w:tab w:val="left" w:pos="8607"/>
              </w:tabs>
              <w:snapToGrid w:val="0"/>
              <w:spacing w:line="360" w:lineRule="auto"/>
              <w:ind w:firstLine="470" w:firstLineChars="196"/>
              <w:jc w:val="left"/>
              <w:rPr>
                <w:rFonts w:hint="default" w:ascii="Times New Roman" w:hAnsi="Times New Roman" w:eastAsia="宋体" w:cs="Times New Roman"/>
                <w:sz w:val="24"/>
                <w:szCs w:val="24"/>
                <w:lang w:val="en-US" w:eastAsia="zh-CN" w:bidi="zh-CN"/>
              </w:rPr>
            </w:pPr>
            <w:r>
              <w:rPr>
                <w:rFonts w:hint="eastAsia" w:cs="Times New Roman"/>
                <w:sz w:val="24"/>
                <w:szCs w:val="24"/>
                <w:lang w:val="en-US" w:eastAsia="zh-CN" w:bidi="zh-CN"/>
              </w:rPr>
              <w:t>（5）</w:t>
            </w:r>
            <w:r>
              <w:rPr>
                <w:rFonts w:hint="default" w:ascii="Times New Roman" w:hAnsi="Times New Roman" w:eastAsia="宋体" w:cs="Times New Roman"/>
                <w:sz w:val="24"/>
                <w:szCs w:val="24"/>
                <w:lang w:val="en-US" w:eastAsia="zh-CN" w:bidi="zh-CN"/>
              </w:rPr>
              <w:t>固体废物</w:t>
            </w:r>
          </w:p>
          <w:p w14:paraId="4317B3C5">
            <w:pPr>
              <w:keepNext w:val="0"/>
              <w:keepLines w:val="0"/>
              <w:pageBreakBefore w:val="0"/>
              <w:widowControl w:val="0"/>
              <w:kinsoku/>
              <w:wordWrap/>
              <w:overflowPunct/>
              <w:topLinePunct w:val="0"/>
              <w:autoSpaceDE/>
              <w:autoSpaceDN/>
              <w:bidi w:val="0"/>
              <w:snapToGrid w:val="0"/>
              <w:spacing w:line="360" w:lineRule="auto"/>
              <w:ind w:firstLine="480" w:firstLineChars="200"/>
              <w:contextualSpacing/>
              <w:textAlignment w:val="auto"/>
              <w:rPr>
                <w:rFonts w:hint="default" w:ascii="Times New Roman" w:hAnsi="Times New Roman" w:eastAsia="宋体" w:cs="Times New Roman"/>
                <w:b w:val="0"/>
                <w:bCs/>
                <w:color w:val="000000"/>
                <w:sz w:val="24"/>
                <w:szCs w:val="24"/>
                <w:u w:val="none"/>
              </w:rPr>
            </w:pPr>
            <w:r>
              <w:rPr>
                <w:rFonts w:hint="default" w:ascii="Calibri" w:hAnsi="Calibri" w:eastAsia="宋体" w:cs="Calibri"/>
                <w:b w:val="0"/>
                <w:bCs/>
                <w:color w:val="000000"/>
                <w:sz w:val="24"/>
                <w:szCs w:val="24"/>
                <w:u w:val="none"/>
                <w:lang w:val="en-US" w:eastAsia="zh-CN"/>
              </w:rPr>
              <w:t>①</w:t>
            </w:r>
            <w:r>
              <w:rPr>
                <w:rFonts w:hint="default" w:ascii="Times New Roman" w:hAnsi="Times New Roman" w:eastAsia="宋体" w:cs="Times New Roman"/>
                <w:b w:val="0"/>
                <w:bCs/>
                <w:color w:val="000000"/>
                <w:sz w:val="24"/>
                <w:szCs w:val="24"/>
                <w:u w:val="none"/>
              </w:rPr>
              <w:t>生活垃圾</w:t>
            </w:r>
          </w:p>
          <w:p w14:paraId="77D60032">
            <w:pPr>
              <w:keepNext w:val="0"/>
              <w:keepLines w:val="0"/>
              <w:pageBreakBefore w:val="0"/>
              <w:widowControl w:val="0"/>
              <w:kinsoku/>
              <w:wordWrap/>
              <w:overflowPunct/>
              <w:topLinePunct w:val="0"/>
              <w:autoSpaceDE/>
              <w:autoSpaceDN/>
              <w:bidi w:val="0"/>
              <w:snapToGrid w:val="0"/>
              <w:spacing w:line="360" w:lineRule="auto"/>
              <w:ind w:firstLine="480" w:firstLineChars="200"/>
              <w:contextualSpacing/>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项目生活垃圾集中收集后交由当地环卫部门处置，不外排。</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6"/>
            </w:tblGrid>
            <w:tr w14:paraId="3033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0" w:type="dxa"/>
                  <w:noWrap w:val="0"/>
                  <w:vAlign w:val="center"/>
                </w:tcPr>
                <w:p w14:paraId="289564B0">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eastAsia="宋体" w:cs="Times New Roman"/>
                      <w:b/>
                      <w:bCs/>
                      <w:color w:val="auto"/>
                      <w:sz w:val="21"/>
                      <w:szCs w:val="21"/>
                      <w:vertAlign w:val="baseline"/>
                      <w:lang w:val="en-US" w:eastAsia="zh-CN" w:bidi="zh-CN"/>
                    </w:rPr>
                    <w:drawing>
                      <wp:inline distT="0" distB="0" distL="114300" distR="114300">
                        <wp:extent cx="3959860" cy="2421890"/>
                        <wp:effectExtent l="0" t="0" r="2540" b="16510"/>
                        <wp:docPr id="29" name="图片 29" descr="IMG_20240522_11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40522_112343"/>
                                <pic:cNvPicPr>
                                  <a:picLocks noChangeAspect="1"/>
                                </pic:cNvPicPr>
                              </pic:nvPicPr>
                              <pic:blipFill>
                                <a:blip r:embed="rId47"/>
                                <a:srcRect l="10667" r="20577"/>
                                <a:stretch>
                                  <a:fillRect/>
                                </a:stretch>
                              </pic:blipFill>
                              <pic:spPr>
                                <a:xfrm>
                                  <a:off x="0" y="0"/>
                                  <a:ext cx="3959860" cy="2421890"/>
                                </a:xfrm>
                                <a:prstGeom prst="rect">
                                  <a:avLst/>
                                </a:prstGeom>
                              </pic:spPr>
                            </pic:pic>
                          </a:graphicData>
                        </a:graphic>
                      </wp:inline>
                    </w:drawing>
                  </w:r>
                </w:p>
              </w:tc>
            </w:tr>
            <w:tr w14:paraId="021B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0" w:type="dxa"/>
                  <w:noWrap w:val="0"/>
                  <w:vAlign w:val="center"/>
                </w:tcPr>
                <w:p w14:paraId="090588A3">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eastAsia" w:cs="Times New Roman"/>
                      <w:b/>
                      <w:bCs/>
                      <w:color w:val="auto"/>
                      <w:sz w:val="21"/>
                      <w:szCs w:val="21"/>
                      <w:vertAlign w:val="baseline"/>
                      <w:lang w:val="en-US" w:eastAsia="zh-CN" w:bidi="zh-CN"/>
                    </w:rPr>
                    <w:t>生活垃圾分类收集桶</w:t>
                  </w:r>
                </w:p>
              </w:tc>
            </w:tr>
          </w:tbl>
          <w:p w14:paraId="346D4F2B">
            <w:pPr>
              <w:keepNext w:val="0"/>
              <w:keepLines w:val="0"/>
              <w:pageBreakBefore w:val="0"/>
              <w:widowControl w:val="0"/>
              <w:kinsoku/>
              <w:wordWrap/>
              <w:overflowPunct/>
              <w:topLinePunct w:val="0"/>
              <w:autoSpaceDE/>
              <w:autoSpaceDN/>
              <w:bidi w:val="0"/>
              <w:snapToGrid w:val="0"/>
              <w:spacing w:line="360" w:lineRule="auto"/>
              <w:ind w:firstLine="480" w:firstLineChars="200"/>
              <w:contextualSpacing/>
              <w:textAlignment w:val="auto"/>
              <w:rPr>
                <w:rFonts w:hint="default" w:ascii="Times New Roman" w:hAnsi="Times New Roman" w:eastAsia="宋体" w:cs="Times New Roman"/>
                <w:b w:val="0"/>
                <w:bCs/>
                <w:color w:val="000000"/>
                <w:sz w:val="24"/>
                <w:szCs w:val="24"/>
                <w:u w:val="none"/>
              </w:rPr>
            </w:pPr>
            <w:r>
              <w:rPr>
                <w:rFonts w:hint="default" w:ascii="Calibri" w:hAnsi="Calibri" w:eastAsia="宋体" w:cs="Calibri"/>
                <w:b w:val="0"/>
                <w:bCs/>
                <w:color w:val="000000"/>
                <w:sz w:val="24"/>
                <w:szCs w:val="24"/>
                <w:u w:val="none"/>
                <w:lang w:val="en-US" w:eastAsia="zh-CN"/>
              </w:rPr>
              <w:t>②</w:t>
            </w:r>
            <w:r>
              <w:rPr>
                <w:rFonts w:hint="default" w:ascii="Times New Roman" w:hAnsi="Times New Roman" w:eastAsia="宋体" w:cs="Times New Roman"/>
                <w:b w:val="0"/>
                <w:bCs/>
                <w:color w:val="000000"/>
                <w:sz w:val="24"/>
                <w:szCs w:val="24"/>
                <w:u w:val="none"/>
              </w:rPr>
              <w:t>工业固体废物</w:t>
            </w:r>
          </w:p>
          <w:p w14:paraId="237E36A3">
            <w:pPr>
              <w:keepNext w:val="0"/>
              <w:keepLines w:val="0"/>
              <w:pageBreakBefore w:val="0"/>
              <w:widowControl w:val="0"/>
              <w:kinsoku/>
              <w:wordWrap/>
              <w:overflowPunct/>
              <w:topLinePunct w:val="0"/>
              <w:autoSpaceDE/>
              <w:autoSpaceDN/>
              <w:bidi w:val="0"/>
              <w:snapToGrid w:val="0"/>
              <w:spacing w:line="360" w:lineRule="auto"/>
              <w:ind w:firstLine="480" w:firstLineChars="200"/>
              <w:contextualSpacing/>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本工程产生的工业固体废物主要为自于矿山开采剥离的表土</w:t>
            </w:r>
            <w:r>
              <w:rPr>
                <w:rFonts w:hint="eastAsia" w:cs="Times New Roman"/>
                <w:color w:val="000000"/>
                <w:sz w:val="24"/>
                <w:szCs w:val="24"/>
                <w:lang w:eastAsia="zh-CN"/>
              </w:rPr>
              <w:t>和风化层</w:t>
            </w:r>
            <w:r>
              <w:rPr>
                <w:rFonts w:hint="default" w:ascii="Times New Roman" w:hAnsi="Times New Roman" w:eastAsia="宋体" w:cs="Times New Roman"/>
                <w:color w:val="000000"/>
                <w:sz w:val="24"/>
                <w:szCs w:val="24"/>
              </w:rPr>
              <w:t>、</w:t>
            </w:r>
            <w:r>
              <w:rPr>
                <w:rFonts w:hint="eastAsia" w:cs="Times New Roman"/>
                <w:color w:val="000000"/>
                <w:sz w:val="24"/>
                <w:szCs w:val="24"/>
                <w:lang w:eastAsia="zh-CN"/>
              </w:rPr>
              <w:t>废料</w:t>
            </w:r>
            <w:r>
              <w:rPr>
                <w:rFonts w:hint="default" w:ascii="Times New Roman" w:hAnsi="Times New Roman" w:eastAsia="宋体" w:cs="Times New Roman"/>
                <w:color w:val="000000"/>
                <w:sz w:val="24"/>
                <w:szCs w:val="24"/>
                <w:lang w:eastAsia="zh-CN"/>
              </w:rPr>
              <w:t>、沉淀池污泥</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highlight w:val="none"/>
              </w:rPr>
              <w:t>依据目前实际，矿山企业生产尾矿角材及剥离风化层直接由山下碎石加工企业负责运输至建筑石料加工工业场地，综合利用生产建筑石料、建筑用砂及复绿用土</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lang w:eastAsia="zh-CN"/>
              </w:rPr>
              <w:t>沉淀池</w:t>
            </w:r>
            <w:r>
              <w:rPr>
                <w:rFonts w:hint="default" w:ascii="Times New Roman" w:hAnsi="Times New Roman" w:eastAsia="宋体" w:cs="Times New Roman"/>
                <w:color w:val="000000"/>
                <w:sz w:val="24"/>
                <w:szCs w:val="24"/>
              </w:rPr>
              <w:t>污泥定期清掏</w:t>
            </w:r>
            <w:r>
              <w:rPr>
                <w:rFonts w:hint="default" w:ascii="Times New Roman" w:hAnsi="Times New Roman" w:eastAsia="宋体" w:cs="Times New Roman"/>
                <w:color w:val="000000"/>
                <w:sz w:val="24"/>
                <w:szCs w:val="24"/>
                <w:lang w:eastAsia="zh-CN"/>
              </w:rPr>
              <w:t>压滤</w:t>
            </w:r>
            <w:r>
              <w:rPr>
                <w:rFonts w:hint="default" w:ascii="Times New Roman" w:hAnsi="Times New Roman" w:eastAsia="宋体" w:cs="Times New Roman"/>
                <w:color w:val="000000"/>
                <w:sz w:val="24"/>
                <w:szCs w:val="24"/>
              </w:rPr>
              <w:t>后</w:t>
            </w:r>
            <w:r>
              <w:rPr>
                <w:rFonts w:hint="default" w:ascii="Times New Roman" w:hAnsi="Times New Roman" w:eastAsia="宋体" w:cs="Times New Roman"/>
                <w:color w:val="000000"/>
                <w:sz w:val="24"/>
                <w:szCs w:val="24"/>
                <w:lang w:eastAsia="zh-CN"/>
              </w:rPr>
              <w:t>作为建筑材料外售。</w:t>
            </w:r>
            <w:r>
              <w:rPr>
                <w:rFonts w:hint="default" w:ascii="Times New Roman" w:hAnsi="Times New Roman" w:eastAsia="宋体" w:cs="Times New Roman"/>
                <w:color w:val="000000"/>
                <w:sz w:val="24"/>
                <w:szCs w:val="24"/>
                <w:highlight w:val="none"/>
                <w:lang w:eastAsia="zh-CN"/>
              </w:rPr>
              <w:t>矿山风化层剥离物和</w:t>
            </w:r>
            <w:r>
              <w:rPr>
                <w:rFonts w:hint="eastAsia" w:cs="Times New Roman"/>
                <w:color w:val="000000"/>
                <w:sz w:val="24"/>
                <w:szCs w:val="24"/>
                <w:highlight w:val="none"/>
                <w:lang w:eastAsia="zh-CN"/>
              </w:rPr>
              <w:t>废料</w:t>
            </w:r>
            <w:r>
              <w:rPr>
                <w:rFonts w:hint="default" w:ascii="Times New Roman" w:hAnsi="Times New Roman" w:eastAsia="宋体" w:cs="Times New Roman"/>
                <w:color w:val="000000"/>
                <w:sz w:val="24"/>
                <w:szCs w:val="24"/>
                <w:highlight w:val="none"/>
                <w:lang w:eastAsia="zh-CN"/>
              </w:rPr>
              <w:t>可全部进行综合利用</w:t>
            </w:r>
            <w:r>
              <w:rPr>
                <w:rFonts w:hint="eastAsia"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eastAsia="zh-CN"/>
              </w:rPr>
              <w:t>矿山不设排土场，</w:t>
            </w:r>
            <w:r>
              <w:rPr>
                <w:rFonts w:hint="default" w:ascii="Times New Roman" w:hAnsi="Times New Roman" w:eastAsia="宋体" w:cs="Times New Roman"/>
                <w:color w:val="000000"/>
                <w:kern w:val="2"/>
                <w:sz w:val="24"/>
                <w:szCs w:val="24"/>
                <w:highlight w:val="none"/>
                <w:lang w:val="en-US" w:eastAsia="zh-CN" w:bidi="ar-SA"/>
              </w:rPr>
              <w:t>土运至矿区外指定排土场堆存，用于矿山开采及闭坑后复垦复绿用土。</w:t>
            </w:r>
          </w:p>
          <w:p w14:paraId="500E18CC">
            <w:pPr>
              <w:keepNext w:val="0"/>
              <w:keepLines w:val="0"/>
              <w:pageBreakBefore w:val="0"/>
              <w:widowControl w:val="0"/>
              <w:kinsoku/>
              <w:wordWrap/>
              <w:overflowPunct/>
              <w:topLinePunct w:val="0"/>
              <w:autoSpaceDE/>
              <w:autoSpaceDN/>
              <w:bidi w:val="0"/>
              <w:snapToGrid w:val="0"/>
              <w:spacing w:line="360" w:lineRule="auto"/>
              <w:ind w:firstLine="480" w:firstLineChars="200"/>
              <w:contextualSpacing/>
              <w:textAlignment w:val="auto"/>
              <w:rPr>
                <w:rFonts w:hint="default" w:ascii="Times New Roman" w:hAnsi="Times New Roman" w:eastAsia="宋体" w:cs="Times New Roman"/>
                <w:b w:val="0"/>
                <w:bCs/>
                <w:color w:val="000000"/>
                <w:sz w:val="24"/>
                <w:szCs w:val="24"/>
                <w:u w:val="none"/>
              </w:rPr>
            </w:pPr>
            <w:r>
              <w:rPr>
                <w:rFonts w:hint="default" w:ascii="Calibri" w:hAnsi="Calibri" w:eastAsia="宋体" w:cs="Calibri"/>
                <w:b w:val="0"/>
                <w:bCs/>
                <w:color w:val="000000"/>
                <w:sz w:val="24"/>
                <w:szCs w:val="24"/>
                <w:u w:val="none"/>
                <w:lang w:val="en-US" w:eastAsia="zh-CN"/>
              </w:rPr>
              <w:t>③</w:t>
            </w:r>
            <w:r>
              <w:rPr>
                <w:rFonts w:hint="default" w:ascii="Times New Roman" w:hAnsi="Times New Roman" w:eastAsia="宋体" w:cs="Times New Roman"/>
                <w:b w:val="0"/>
                <w:bCs/>
                <w:color w:val="000000"/>
                <w:sz w:val="24"/>
                <w:szCs w:val="24"/>
                <w:u w:val="none"/>
              </w:rPr>
              <w:t>危险废物</w:t>
            </w:r>
          </w:p>
          <w:p w14:paraId="22DACCB2">
            <w:pPr>
              <w:pStyle w:val="23"/>
              <w:spacing w:line="360" w:lineRule="auto"/>
              <w:ind w:firstLine="480" w:firstLineChars="200"/>
              <w:jc w:val="both"/>
              <w:rPr>
                <w:rFonts w:hint="eastAsia" w:ascii="Times New Roman" w:hAnsi="Times New Roman" w:eastAsia="宋体" w:cs="Times New Roman"/>
                <w:sz w:val="24"/>
                <w:lang w:val="en-US" w:eastAsia="zh-CN"/>
              </w:rPr>
            </w:pPr>
            <w:r>
              <w:rPr>
                <w:rFonts w:hint="default" w:ascii="Times New Roman" w:hAnsi="Times New Roman" w:eastAsia="宋体" w:cs="Times New Roman"/>
                <w:color w:val="000000"/>
                <w:sz w:val="24"/>
                <w:szCs w:val="24"/>
              </w:rPr>
              <w:t>项目在维修过程中产生的废机油</w:t>
            </w:r>
            <w:r>
              <w:rPr>
                <w:rFonts w:hint="eastAsia" w:cs="Times New Roman"/>
                <w:color w:val="000000"/>
                <w:sz w:val="24"/>
                <w:szCs w:val="24"/>
                <w:lang w:eastAsia="zh-CN"/>
              </w:rPr>
              <w:t>、</w:t>
            </w:r>
            <w:r>
              <w:rPr>
                <w:rFonts w:hint="eastAsia" w:cs="Times New Roman"/>
                <w:color w:val="000000"/>
                <w:sz w:val="24"/>
                <w:szCs w:val="24"/>
                <w:lang w:val="en-US" w:eastAsia="zh-CN"/>
              </w:rPr>
              <w:t>含油抹布及废手套</w:t>
            </w:r>
            <w:r>
              <w:rPr>
                <w:rFonts w:hint="default" w:ascii="Times New Roman" w:hAnsi="Times New Roman" w:eastAsia="宋体" w:cs="Times New Roman"/>
                <w:color w:val="000000"/>
                <w:sz w:val="24"/>
                <w:szCs w:val="24"/>
              </w:rPr>
              <w:t>为危险废物，</w:t>
            </w:r>
            <w:r>
              <w:rPr>
                <w:rFonts w:hint="eastAsia" w:cs="Times New Roman"/>
                <w:color w:val="000000"/>
                <w:sz w:val="24"/>
                <w:szCs w:val="24"/>
                <w:lang w:val="en-US" w:eastAsia="zh-CN"/>
              </w:rPr>
              <w:t>项目区</w:t>
            </w:r>
            <w:r>
              <w:rPr>
                <w:rFonts w:hint="default" w:ascii="Times New Roman" w:hAnsi="Times New Roman" w:eastAsia="宋体" w:cs="Times New Roman"/>
                <w:color w:val="000000"/>
                <w:sz w:val="24"/>
                <w:szCs w:val="24"/>
              </w:rPr>
              <w:t>内设置1间危险废物暂存间，并定期交由有资质的单位进行处置</w:t>
            </w:r>
            <w:r>
              <w:rPr>
                <w:rFonts w:hint="eastAsia" w:cs="Times New Roman"/>
                <w:color w:val="000000"/>
                <w:sz w:val="24"/>
                <w:szCs w:val="24"/>
                <w:lang w:eastAsia="zh-CN"/>
              </w:rPr>
              <w: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0"/>
              <w:gridCol w:w="4580"/>
            </w:tblGrid>
            <w:tr w14:paraId="0761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80" w:type="dxa"/>
                  <w:noWrap w:val="0"/>
                  <w:vAlign w:val="center"/>
                </w:tcPr>
                <w:p w14:paraId="1BEEFD8A">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bidi="zh-CN"/>
                    </w:rPr>
                  </w:pPr>
                  <w:r>
                    <w:rPr>
                      <w:rFonts w:hint="eastAsia" w:ascii="Times New Roman" w:hAnsi="Times New Roman" w:eastAsia="宋体" w:cs="Times New Roman"/>
                      <w:b/>
                      <w:bCs/>
                      <w:color w:val="auto"/>
                      <w:sz w:val="21"/>
                      <w:szCs w:val="21"/>
                      <w:vertAlign w:val="baseline"/>
                      <w:lang w:val="en-US" w:eastAsia="zh-CN" w:bidi="zh-CN"/>
                    </w:rPr>
                    <w:drawing>
                      <wp:inline distT="0" distB="0" distL="114300" distR="114300">
                        <wp:extent cx="2625090" cy="2025015"/>
                        <wp:effectExtent l="0" t="0" r="3810" b="13335"/>
                        <wp:docPr id="114" name="图片 114" descr="cb59ef579c92fd0c88967ee359d2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b59ef579c92fd0c88967ee359d2d6f"/>
                                <pic:cNvPicPr>
                                  <a:picLocks noChangeAspect="1"/>
                                </pic:cNvPicPr>
                              </pic:nvPicPr>
                              <pic:blipFill>
                                <a:blip r:embed="rId48"/>
                                <a:stretch>
                                  <a:fillRect/>
                                </a:stretch>
                              </pic:blipFill>
                              <pic:spPr>
                                <a:xfrm>
                                  <a:off x="0" y="0"/>
                                  <a:ext cx="2625090" cy="2025015"/>
                                </a:xfrm>
                                <a:prstGeom prst="rect">
                                  <a:avLst/>
                                </a:prstGeom>
                              </pic:spPr>
                            </pic:pic>
                          </a:graphicData>
                        </a:graphic>
                      </wp:inline>
                    </w:drawing>
                  </w:r>
                </w:p>
              </w:tc>
              <w:tc>
                <w:tcPr>
                  <w:tcW w:w="4580" w:type="dxa"/>
                  <w:noWrap w:val="0"/>
                  <w:vAlign w:val="center"/>
                </w:tcPr>
                <w:p w14:paraId="0B303D81">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bidi="zh-CN"/>
                    </w:rPr>
                  </w:pPr>
                  <w:r>
                    <w:rPr>
                      <w:rFonts w:hint="eastAsia" w:ascii="Times New Roman" w:hAnsi="Times New Roman" w:eastAsia="宋体" w:cs="Times New Roman"/>
                      <w:b/>
                      <w:bCs/>
                      <w:color w:val="auto"/>
                      <w:sz w:val="21"/>
                      <w:szCs w:val="21"/>
                      <w:vertAlign w:val="baseline"/>
                      <w:lang w:val="en-US" w:eastAsia="zh-CN" w:bidi="zh-CN"/>
                    </w:rPr>
                    <w:drawing>
                      <wp:inline distT="0" distB="0" distL="114300" distR="114300">
                        <wp:extent cx="2757170" cy="1967230"/>
                        <wp:effectExtent l="0" t="0" r="5080" b="13970"/>
                        <wp:docPr id="116" name="图片 116" descr="IMG2024030711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20240307115436"/>
                                <pic:cNvPicPr>
                                  <a:picLocks noChangeAspect="1"/>
                                </pic:cNvPicPr>
                              </pic:nvPicPr>
                              <pic:blipFill>
                                <a:blip r:embed="rId49"/>
                                <a:stretch>
                                  <a:fillRect/>
                                </a:stretch>
                              </pic:blipFill>
                              <pic:spPr>
                                <a:xfrm>
                                  <a:off x="0" y="0"/>
                                  <a:ext cx="2757170" cy="1967230"/>
                                </a:xfrm>
                                <a:prstGeom prst="rect">
                                  <a:avLst/>
                                </a:prstGeom>
                              </pic:spPr>
                            </pic:pic>
                          </a:graphicData>
                        </a:graphic>
                      </wp:inline>
                    </w:drawing>
                  </w:r>
                </w:p>
              </w:tc>
            </w:tr>
            <w:tr w14:paraId="297D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0" w:type="dxa"/>
                  <w:noWrap w:val="0"/>
                  <w:vAlign w:val="center"/>
                </w:tcPr>
                <w:p w14:paraId="112FBD5D">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eastAsia" w:ascii="Times New Roman" w:hAnsi="Times New Roman" w:eastAsia="宋体" w:cs="Times New Roman"/>
                      <w:b/>
                      <w:bCs/>
                      <w:color w:val="auto"/>
                      <w:sz w:val="21"/>
                      <w:szCs w:val="21"/>
                      <w:vertAlign w:val="baseline"/>
                      <w:lang w:val="en-US" w:eastAsia="zh-CN" w:bidi="zh-CN"/>
                    </w:rPr>
                    <w:t>危废暂存间</w:t>
                  </w:r>
                </w:p>
              </w:tc>
              <w:tc>
                <w:tcPr>
                  <w:tcW w:w="4580" w:type="dxa"/>
                  <w:noWrap w:val="0"/>
                  <w:vAlign w:val="center"/>
                </w:tcPr>
                <w:p w14:paraId="51371D5B">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bidi="zh-CN"/>
                    </w:rPr>
                  </w:pPr>
                  <w:r>
                    <w:rPr>
                      <w:rFonts w:hint="eastAsia" w:cs="Times New Roman"/>
                      <w:b/>
                      <w:bCs/>
                      <w:color w:val="auto"/>
                      <w:sz w:val="21"/>
                      <w:szCs w:val="21"/>
                      <w:vertAlign w:val="baseline"/>
                      <w:lang w:val="en-US" w:eastAsia="zh-CN" w:bidi="zh-CN"/>
                    </w:rPr>
                    <w:t>一般固暂存场</w:t>
                  </w:r>
                </w:p>
              </w:tc>
            </w:tr>
          </w:tbl>
          <w:p w14:paraId="1D35C874">
            <w:pPr>
              <w:keepNext w:val="0"/>
              <w:keepLines w:val="0"/>
              <w:pageBreakBefore w:val="0"/>
              <w:widowControl w:val="0"/>
              <w:tabs>
                <w:tab w:val="left" w:pos="1680"/>
                <w:tab w:val="left" w:pos="8607"/>
              </w:tabs>
              <w:kinsoku/>
              <w:wordWrap/>
              <w:overflowPunct/>
              <w:topLinePunct w:val="0"/>
              <w:autoSpaceDE w:val="0"/>
              <w:autoSpaceDN w:val="0"/>
              <w:bidi w:val="0"/>
              <w:adjustRightInd/>
              <w:snapToGrid/>
              <w:spacing w:after="0" w:afterLines="50" w:line="240" w:lineRule="auto"/>
              <w:jc w:val="center"/>
              <w:textAlignment w:val="auto"/>
              <w:rPr>
                <w:rFonts w:hint="default" w:ascii="Times New Roman" w:hAnsi="Times New Roman" w:cs="Times New Roman"/>
                <w:color w:val="000000"/>
                <w:sz w:val="24"/>
              </w:rPr>
            </w:pPr>
            <w:r>
              <w:rPr>
                <w:rFonts w:hint="default" w:ascii="Times New Roman" w:hAnsi="Times New Roman" w:cs="Times New Roman"/>
                <w:b/>
                <w:bCs/>
                <w:sz w:val="24"/>
                <w:vertAlign w:val="baseline"/>
                <w:lang w:val="en-US" w:eastAsia="zh-CN"/>
              </w:rPr>
              <w:t>图4-</w:t>
            </w:r>
            <w:r>
              <w:rPr>
                <w:rFonts w:hint="eastAsia" w:cs="Times New Roman"/>
                <w:b/>
                <w:bCs/>
                <w:sz w:val="24"/>
                <w:vertAlign w:val="baseline"/>
                <w:lang w:val="en-US" w:eastAsia="zh-CN"/>
              </w:rPr>
              <w:t>16</w:t>
            </w:r>
            <w:r>
              <w:rPr>
                <w:rFonts w:hint="default" w:ascii="Times New Roman" w:hAnsi="Times New Roman" w:cs="Times New Roman"/>
                <w:b/>
                <w:bCs/>
                <w:sz w:val="24"/>
                <w:vertAlign w:val="baseline"/>
                <w:lang w:val="en-US" w:eastAsia="zh-CN"/>
              </w:rPr>
              <w:t xml:space="preserve">  项目</w:t>
            </w:r>
            <w:r>
              <w:rPr>
                <w:rFonts w:hint="eastAsia" w:ascii="Times New Roman" w:hAnsi="Times New Roman" w:cs="Times New Roman"/>
                <w:b/>
                <w:bCs/>
                <w:sz w:val="24"/>
                <w:vertAlign w:val="baseline"/>
                <w:lang w:val="en-US" w:eastAsia="zh-CN"/>
              </w:rPr>
              <w:t>运营期固废处置</w:t>
            </w:r>
            <w:r>
              <w:rPr>
                <w:rFonts w:hint="default" w:ascii="Times New Roman" w:hAnsi="Times New Roman" w:cs="Times New Roman"/>
                <w:b/>
                <w:bCs/>
                <w:sz w:val="24"/>
                <w:vertAlign w:val="baseline"/>
                <w:lang w:val="en-US" w:eastAsia="zh-CN"/>
              </w:rPr>
              <w:t>措施图</w:t>
            </w:r>
          </w:p>
          <w:p w14:paraId="3303D9FC">
            <w:pPr>
              <w:pStyle w:val="23"/>
              <w:spacing w:line="360" w:lineRule="auto"/>
              <w:jc w:val="both"/>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（三）</w:t>
            </w:r>
            <w:r>
              <w:rPr>
                <w:rFonts w:hint="default" w:ascii="Times New Roman" w:hAnsi="Times New Roman" w:eastAsia="宋体" w:cs="Times New Roman"/>
                <w:b/>
                <w:bCs/>
                <w:sz w:val="24"/>
                <w:szCs w:val="24"/>
                <w:lang w:val="en-US" w:eastAsia="zh-CN"/>
              </w:rPr>
              <w:t>其他环境问题及环境保护措施</w:t>
            </w:r>
          </w:p>
          <w:p w14:paraId="454BD869">
            <w:pPr>
              <w:pStyle w:val="6"/>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jc w:val="both"/>
              <w:textAlignment w:val="top"/>
              <w:rPr>
                <w:rFonts w:hint="default" w:ascii="Times New Roman" w:hAnsi="Times New Roman" w:eastAsia="宋体" w:cs="Times New Roman"/>
                <w:b/>
                <w:bCs/>
                <w:color w:val="auto"/>
                <w:spacing w:val="0"/>
                <w:kern w:val="2"/>
                <w:sz w:val="24"/>
                <w:szCs w:val="24"/>
                <w:lang w:val="en-US" w:eastAsia="zh-CN" w:bidi="ar-SA"/>
              </w:rPr>
            </w:pPr>
            <w:bookmarkStart w:id="13" w:name="_Toc325634181"/>
            <w:bookmarkStart w:id="14" w:name="_Toc327801031"/>
            <w:bookmarkStart w:id="15" w:name="_Toc225645431"/>
            <w:bookmarkStart w:id="16" w:name="_Toc255765951"/>
            <w:bookmarkStart w:id="17" w:name="_Toc198458597"/>
            <w:bookmarkStart w:id="18" w:name="_Toc327801175"/>
            <w:bookmarkStart w:id="19" w:name="_Toc225645561"/>
            <w:bookmarkStart w:id="20" w:name="_Toc113737610"/>
            <w:bookmarkStart w:id="21" w:name="_Toc322330753"/>
            <w:bookmarkStart w:id="22" w:name="_Toc194567696"/>
            <w:bookmarkStart w:id="23" w:name="_Toc437893122"/>
            <w:bookmarkStart w:id="24" w:name="_Toc103250161"/>
            <w:r>
              <w:rPr>
                <w:rFonts w:hint="eastAsia" w:cs="Times New Roman"/>
                <w:b/>
                <w:bCs/>
                <w:color w:val="auto"/>
                <w:spacing w:val="0"/>
                <w:kern w:val="2"/>
                <w:sz w:val="24"/>
                <w:szCs w:val="24"/>
                <w:lang w:val="en-US" w:eastAsia="zh-CN" w:bidi="ar-SA"/>
              </w:rPr>
              <w:t>1、</w:t>
            </w:r>
            <w:r>
              <w:rPr>
                <w:rFonts w:hint="default" w:ascii="Times New Roman" w:hAnsi="Times New Roman" w:eastAsia="宋体" w:cs="Times New Roman"/>
                <w:b/>
                <w:bCs/>
                <w:color w:val="auto"/>
                <w:spacing w:val="0"/>
                <w:kern w:val="2"/>
                <w:sz w:val="24"/>
                <w:szCs w:val="24"/>
                <w:lang w:val="en-US" w:eastAsia="zh-CN" w:bidi="ar-SA"/>
              </w:rPr>
              <w:t>矿区开发地质灾害预防措施</w:t>
            </w:r>
            <w:bookmarkEnd w:id="13"/>
            <w:bookmarkEnd w:id="14"/>
            <w:bookmarkEnd w:id="15"/>
            <w:bookmarkEnd w:id="16"/>
            <w:bookmarkEnd w:id="17"/>
            <w:bookmarkEnd w:id="18"/>
            <w:bookmarkEnd w:id="19"/>
            <w:bookmarkEnd w:id="20"/>
            <w:bookmarkEnd w:id="21"/>
            <w:bookmarkEnd w:id="22"/>
            <w:bookmarkEnd w:id="23"/>
          </w:p>
          <w:bookmarkEnd w:id="24"/>
          <w:p w14:paraId="71354FCA">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b/>
                <w:bCs/>
                <w:color w:val="auto"/>
                <w:spacing w:val="0"/>
                <w:kern w:val="2"/>
                <w:sz w:val="24"/>
                <w:szCs w:val="24"/>
                <w:lang w:val="en-US" w:eastAsia="zh-CN" w:bidi="ar-SA"/>
              </w:rPr>
            </w:pPr>
            <w:r>
              <w:rPr>
                <w:rFonts w:hint="default" w:ascii="Times New Roman" w:hAnsi="Times New Roman" w:eastAsia="宋体" w:cs="Times New Roman"/>
                <w:color w:val="000000"/>
                <w:sz w:val="24"/>
                <w:szCs w:val="24"/>
              </w:rPr>
              <w:t>根据矿山地质环境保护与恢复治理原则、目标和任务，评估区内潜在的崩塌、滑坡地质灾害隐患采用监测手段予以排查、示警，排泄采坑外围汇集雨水，此外做好台阶内排水工作，台阶内设置排水沟</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沉砂池；针对开采边坡，采取清除危岩工程避免出现落石等现象，同时在开采边坡周边设置警示牌示警，针对露天采场在开采过程中临时性废石场设置一定的风险金，用于临时性治理。对露天采场四周进行铁丝网防护工程，对露天采坑边坡进行稳定性监测。</w:t>
            </w:r>
          </w:p>
          <w:p w14:paraId="082402D2">
            <w:pPr>
              <w:pStyle w:val="6"/>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40" w:leftChars="0"/>
              <w:jc w:val="both"/>
              <w:textAlignment w:val="top"/>
              <w:rPr>
                <w:rFonts w:hint="default" w:ascii="Times New Roman" w:hAnsi="Times New Roman" w:eastAsia="宋体" w:cs="Times New Roman"/>
                <w:b/>
                <w:bCs/>
                <w:color w:val="auto"/>
                <w:spacing w:val="0"/>
                <w:kern w:val="2"/>
                <w:sz w:val="24"/>
                <w:szCs w:val="24"/>
                <w:lang w:val="en-US" w:eastAsia="zh-CN" w:bidi="ar-SA"/>
              </w:rPr>
            </w:pPr>
            <w:r>
              <w:rPr>
                <w:rFonts w:hint="eastAsia" w:cs="Times New Roman"/>
                <w:b/>
                <w:bCs/>
                <w:color w:val="auto"/>
                <w:spacing w:val="0"/>
                <w:kern w:val="2"/>
                <w:sz w:val="24"/>
                <w:szCs w:val="24"/>
                <w:lang w:val="en-US" w:eastAsia="zh-CN" w:bidi="ar-SA"/>
              </w:rPr>
              <w:t>2、</w:t>
            </w:r>
            <w:r>
              <w:rPr>
                <w:rFonts w:hint="default" w:ascii="Times New Roman" w:hAnsi="Times New Roman" w:eastAsia="宋体" w:cs="Times New Roman"/>
                <w:b/>
                <w:bCs/>
                <w:color w:val="auto"/>
                <w:spacing w:val="0"/>
                <w:kern w:val="2"/>
                <w:sz w:val="24"/>
                <w:szCs w:val="24"/>
                <w:lang w:val="en-US" w:eastAsia="zh-CN" w:bidi="ar-SA"/>
              </w:rPr>
              <w:t>环境风险防范措施</w:t>
            </w:r>
          </w:p>
          <w:p w14:paraId="7CD605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①掌握危险源的基本情况，了解发生事故的可能性及严重程度，搞好现场安全管理。</w:t>
            </w:r>
          </w:p>
          <w:p w14:paraId="242041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②加强职工安全教育和培训，增强安全意识，严格作业管理。</w:t>
            </w:r>
          </w:p>
          <w:p w14:paraId="0B7D312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③对危险源进行定期检查和巡回检查，随时掌握动态变化情况，一旦出现危及安全生产的问题，立即采取措施进行处理。</w:t>
            </w:r>
          </w:p>
          <w:p w14:paraId="0E3683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eastAsia" w:ascii="Times New Roman" w:hAnsi="Times New Roman" w:eastAsia="宋体" w:cs="Times New Roman"/>
                <w:color w:val="000000"/>
                <w:kern w:val="0"/>
                <w:sz w:val="24"/>
                <w:szCs w:val="24"/>
                <w:lang w:val="en-US" w:eastAsia="zh-CN" w:bidi="ar"/>
              </w:rPr>
              <w:fldChar w:fldCharType="begin"/>
            </w:r>
            <w:r>
              <w:rPr>
                <w:rFonts w:hint="eastAsia" w:ascii="Times New Roman" w:hAnsi="Times New Roman" w:eastAsia="宋体" w:cs="Times New Roman"/>
                <w:color w:val="000000"/>
                <w:kern w:val="0"/>
                <w:sz w:val="24"/>
                <w:szCs w:val="24"/>
                <w:lang w:val="en-US" w:eastAsia="zh-CN" w:bidi="ar"/>
              </w:rPr>
              <w:instrText xml:space="preserve"> = 4 \* GB3 \* MERGEFORMAT </w:instrText>
            </w:r>
            <w:r>
              <w:rPr>
                <w:rFonts w:hint="eastAsia" w:ascii="Times New Roman" w:hAnsi="Times New Roman" w:eastAsia="宋体" w:cs="Times New Roman"/>
                <w:color w:val="000000"/>
                <w:kern w:val="0"/>
                <w:sz w:val="24"/>
                <w:szCs w:val="24"/>
                <w:lang w:val="en-US" w:eastAsia="zh-CN" w:bidi="ar"/>
              </w:rPr>
              <w:fldChar w:fldCharType="separate"/>
            </w:r>
            <w:r>
              <w:rPr>
                <w:rFonts w:hint="default" w:ascii="Times New Roman" w:hAnsi="Times New Roman" w:eastAsia="宋体" w:cs="Times New Roman"/>
                <w:color w:val="000000"/>
                <w:kern w:val="0"/>
                <w:sz w:val="24"/>
                <w:szCs w:val="24"/>
                <w:lang w:val="en-US" w:eastAsia="zh-CN" w:bidi="ar"/>
              </w:rPr>
              <w:t>④</w:t>
            </w:r>
            <w:r>
              <w:rPr>
                <w:rFonts w:hint="eastAsia" w:ascii="Times New Roman" w:hAnsi="Times New Roman" w:eastAsia="宋体" w:cs="Times New Roman"/>
                <w:color w:val="000000"/>
                <w:kern w:val="0"/>
                <w:sz w:val="24"/>
                <w:szCs w:val="24"/>
                <w:lang w:val="en-US" w:eastAsia="zh-CN" w:bidi="ar"/>
              </w:rPr>
              <w:fldChar w:fldCharType="end"/>
            </w:r>
            <w:r>
              <w:rPr>
                <w:rFonts w:hint="default" w:ascii="Times New Roman" w:hAnsi="Times New Roman" w:eastAsia="宋体" w:cs="Times New Roman"/>
                <w:color w:val="000000"/>
                <w:kern w:val="0"/>
                <w:sz w:val="24"/>
                <w:szCs w:val="24"/>
                <w:lang w:val="en-US" w:eastAsia="zh-CN" w:bidi="ar"/>
              </w:rPr>
              <w:t>制定</w:t>
            </w:r>
            <w:r>
              <w:rPr>
                <w:rFonts w:hint="eastAsia" w:ascii="Times New Roman" w:hAnsi="Times New Roman" w:eastAsia="宋体" w:cs="Times New Roman"/>
                <w:color w:val="000000"/>
                <w:kern w:val="0"/>
                <w:sz w:val="24"/>
                <w:szCs w:val="24"/>
                <w:lang w:val="en-US" w:eastAsia="zh-CN" w:bidi="ar"/>
              </w:rPr>
              <w:t>《湖北省嘉</w:t>
            </w:r>
            <w:r>
              <w:rPr>
                <w:rFonts w:hint="eastAsia" w:cs="Times New Roman"/>
                <w:color w:val="000000"/>
                <w:kern w:val="0"/>
                <w:sz w:val="24"/>
                <w:szCs w:val="24"/>
                <w:lang w:val="en-US" w:eastAsia="zh-CN" w:bidi="ar"/>
              </w:rPr>
              <w:t>丰泰华矿业有限公司白鸭山C8矿区</w:t>
            </w:r>
            <w:r>
              <w:rPr>
                <w:rFonts w:hint="eastAsia" w:ascii="Times New Roman" w:hAnsi="Times New Roman" w:eastAsia="宋体" w:cs="Times New Roman"/>
                <w:color w:val="000000"/>
                <w:kern w:val="0"/>
                <w:sz w:val="24"/>
                <w:szCs w:val="24"/>
                <w:lang w:val="en-US" w:eastAsia="zh-CN" w:bidi="ar"/>
              </w:rPr>
              <w:t>突发环境事件应急预案》</w:t>
            </w:r>
            <w:r>
              <w:rPr>
                <w:rFonts w:hint="default" w:ascii="Times New Roman" w:hAnsi="Times New Roman" w:eastAsia="宋体" w:cs="Times New Roman"/>
                <w:color w:val="000000"/>
                <w:kern w:val="0"/>
                <w:sz w:val="24"/>
                <w:szCs w:val="24"/>
                <w:lang w:val="en-US" w:eastAsia="zh-CN" w:bidi="ar"/>
              </w:rPr>
              <w:t>，配备充足、必要的应急救援器材和工具，每年至少进行1次应急预案演习。</w:t>
            </w:r>
          </w:p>
          <w:p w14:paraId="31DD1AE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 xml:space="preserve">边坡失稳风险防范措施 </w:t>
            </w:r>
          </w:p>
          <w:p w14:paraId="4C2FB14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预防边坡事故是露天矿山安全工作的重中之重；边坡事故占露天矿山事故比例很大，边坡事故类型有矿体（块）坍塌、散落、座落、矿体滑动和危石、浮石下落伤人几种，其中落石伤人事故较多。此外，一旦发生坍塌和岩体滑落事故，就可能造成重大人员伤亡，因此，必须加强边坡事故的预防，预防措施主要有以下方面。</w:t>
            </w:r>
          </w:p>
          <w:p w14:paraId="73AA337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①露天矿场必须严格执行《非金属矿山安全规程》（GB16423-2006）的规定。采用台阶式开采，淘汰落后和不安全的开采方式。运输平台边缘</w:t>
            </w:r>
            <w:r>
              <w:rPr>
                <w:rFonts w:hint="eastAsia" w:cs="Times New Roman"/>
                <w:color w:val="000000"/>
                <w:kern w:val="0"/>
                <w:sz w:val="24"/>
                <w:szCs w:val="24"/>
                <w:lang w:val="en-US" w:eastAsia="zh-CN" w:bidi="ar"/>
              </w:rPr>
              <w:t>至少划出1米</w:t>
            </w:r>
            <w:r>
              <w:rPr>
                <w:rFonts w:hint="default" w:ascii="Times New Roman" w:hAnsi="Times New Roman" w:eastAsia="宋体" w:cs="Times New Roman"/>
                <w:color w:val="000000"/>
                <w:kern w:val="0"/>
                <w:sz w:val="24"/>
                <w:szCs w:val="24"/>
                <w:lang w:val="en-US" w:eastAsia="zh-CN" w:bidi="ar"/>
              </w:rPr>
              <w:t>的危险警戒区，人员车辆一般不得入内。</w:t>
            </w:r>
          </w:p>
          <w:p w14:paraId="054D9A7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②采石场上部需要剥离的，剥离工作面应当超前于开采工作面4米以上。</w:t>
            </w:r>
          </w:p>
          <w:p w14:paraId="1C599B3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③选用合理的开采顺序和推进方向。</w:t>
            </w:r>
          </w:p>
          <w:p w14:paraId="1E5B2E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④合理确定工作边坡的倾向和角度，减少或避免岩层结构面对边坡稳定性的影响，开采阶段高度、平台宽度、坡面角和最终边坡角必须符合矿山开采设计方案要求，最终边坡角根据矿体的稳定性确定。</w:t>
            </w:r>
          </w:p>
          <w:p w14:paraId="4AFF2EE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⑤加强边坡日常检查和安全管理。</w:t>
            </w:r>
          </w:p>
          <w:p w14:paraId="400144C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sz w:val="24"/>
                <w:szCs w:val="24"/>
              </w:rPr>
            </w:pPr>
            <w:r>
              <w:rPr>
                <w:rFonts w:hint="eastAsia" w:cs="Times New Roman"/>
                <w:b/>
                <w:bCs/>
                <w:color w:val="000000"/>
                <w:kern w:val="0"/>
                <w:sz w:val="24"/>
                <w:szCs w:val="24"/>
                <w:lang w:val="en-US" w:eastAsia="zh-CN" w:bidi="ar"/>
              </w:rPr>
              <w:t>4、</w:t>
            </w:r>
            <w:r>
              <w:rPr>
                <w:rFonts w:hint="default" w:ascii="Times New Roman" w:hAnsi="Times New Roman" w:eastAsia="宋体" w:cs="Times New Roman"/>
                <w:b/>
                <w:bCs/>
                <w:color w:val="000000"/>
                <w:kern w:val="0"/>
                <w:sz w:val="24"/>
                <w:szCs w:val="24"/>
                <w:lang w:val="en-US" w:eastAsia="zh-CN" w:bidi="ar"/>
              </w:rPr>
              <w:t>泥石流风险防范措施</w:t>
            </w:r>
          </w:p>
          <w:p w14:paraId="1EB118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采场泥石流主要防范措施是“上截下挡”：为采场自身受雨水冲刷或局部塌落之土石方随雨水下泄，在采场周围建截洪沟收集雨水。应对采场按规范化要求建设，并设置专门的管理部门，加强各项设施的日常管理和维护工作，出现问题，及时解决，不留隐患。具体风险防范措施如下：</w:t>
            </w:r>
          </w:p>
          <w:p w14:paraId="7314B2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①作业必须严格按照设计文件的要求和有关技术规范，做好采场安全检查和监测工作，检查内容包括有无明显沉陷、滑坡、裂缝、流土和管涌等。</w:t>
            </w:r>
          </w:p>
          <w:p w14:paraId="63DC377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②在易发生坠落、窒息的场所及地表陷落区应设置明显警示标志和防范措施。</w:t>
            </w:r>
          </w:p>
          <w:p w14:paraId="3D3003E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③山坡采场周围应修筑可靠的截洪和排水设施拦截山坡汇水。采场内平台应实施2%～3%的反坡，并在采场平台修筑排水沟拦截平台表面山坡汇水。当采场范围内有出水点时，必须采取措施将水疏出，并形成渗流通道。</w:t>
            </w:r>
          </w:p>
          <w:p w14:paraId="6C2B54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④排水设施应符合设计要求，对出现堵塞、坍塌、裂缝、变形、腐蚀或磨蚀、漏砂等现象，必须进行治理。</w:t>
            </w:r>
          </w:p>
          <w:p w14:paraId="309498D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p>
          <w:p w14:paraId="3F856280">
            <w:pPr>
              <w:pStyle w:val="23"/>
              <w:spacing w:line="360" w:lineRule="auto"/>
              <w:jc w:val="both"/>
              <w:rPr>
                <w:rFonts w:hint="default" w:ascii="Times New Roman" w:hAnsi="Times New Roman" w:eastAsia="宋体" w:cs="Times New Roman"/>
                <w:sz w:val="24"/>
                <w:lang w:val="en-US" w:eastAsia="zh-CN"/>
              </w:rPr>
            </w:pPr>
          </w:p>
        </w:tc>
      </w:tr>
    </w:tbl>
    <w:p w14:paraId="681E7323">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kern w:val="0"/>
          <w:sz w:val="32"/>
          <w:szCs w:val="56"/>
          <w:lang w:val="en-US" w:bidi="ar-SA"/>
        </w:rPr>
        <w:sectPr>
          <w:pgSz w:w="11911" w:h="16838"/>
          <w:pgMar w:top="1440" w:right="1361" w:bottom="1440" w:left="1361" w:header="964" w:footer="918" w:gutter="0"/>
          <w:pgBorders>
            <w:top w:val="none" w:sz="0" w:space="0"/>
            <w:left w:val="none" w:sz="0" w:space="0"/>
            <w:bottom w:val="none" w:sz="0" w:space="0"/>
            <w:right w:val="none" w:sz="0" w:space="0"/>
          </w:pgBorders>
          <w:pgNumType w:fmt="decimal"/>
          <w:cols w:space="720" w:num="1"/>
          <w:rtlGutter w:val="0"/>
          <w:docGrid w:linePitch="0" w:charSpace="0"/>
        </w:sectPr>
      </w:pPr>
      <w:bookmarkStart w:id="25" w:name="_Toc15217"/>
    </w:p>
    <w:p w14:paraId="157FA075">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kern w:val="0"/>
          <w:sz w:val="32"/>
          <w:szCs w:val="56"/>
          <w:lang w:val="en-US" w:bidi="ar-SA"/>
        </w:rPr>
      </w:pPr>
      <w:bookmarkStart w:id="26" w:name="_Toc24646"/>
      <w:r>
        <w:rPr>
          <w:rFonts w:hint="default" w:ascii="Times New Roman" w:hAnsi="Times New Roman" w:eastAsia="宋体" w:cs="Times New Roman"/>
          <w:b/>
          <w:bCs/>
          <w:kern w:val="0"/>
          <w:sz w:val="32"/>
          <w:szCs w:val="56"/>
          <w:lang w:val="en-US" w:bidi="ar-SA"/>
        </w:rPr>
        <w:t>表5</w:t>
      </w:r>
      <w:r>
        <w:rPr>
          <w:rFonts w:hint="default" w:ascii="Times New Roman" w:hAnsi="Times New Roman" w:eastAsia="宋体" w:cs="Times New Roman"/>
          <w:b/>
          <w:bCs/>
          <w:kern w:val="0"/>
          <w:sz w:val="32"/>
          <w:szCs w:val="56"/>
          <w:lang w:val="en-US" w:eastAsia="zh-CN" w:bidi="ar-SA"/>
        </w:rPr>
        <w:t xml:space="preserve">  </w:t>
      </w:r>
      <w:r>
        <w:rPr>
          <w:rFonts w:hint="default" w:ascii="Times New Roman" w:hAnsi="Times New Roman" w:eastAsia="宋体" w:cs="Times New Roman"/>
          <w:b/>
          <w:bCs/>
          <w:kern w:val="0"/>
          <w:sz w:val="32"/>
          <w:szCs w:val="56"/>
          <w:lang w:val="en-US" w:bidi="ar-SA"/>
        </w:rPr>
        <w:t>环境影响报告表回顾</w:t>
      </w:r>
      <w:bookmarkEnd w:id="25"/>
      <w:bookmarkEnd w:id="26"/>
    </w:p>
    <w:tbl>
      <w:tblPr>
        <w:tblStyle w:val="17"/>
        <w:tblW w:w="523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626"/>
      </w:tblGrid>
      <w:tr w14:paraId="281FF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29" w:hRule="atLeast"/>
          <w:jc w:val="center"/>
        </w:trPr>
        <w:tc>
          <w:tcPr>
            <w:tcW w:w="5000" w:type="pct"/>
            <w:tcBorders>
              <w:top w:val="single" w:color="auto" w:sz="4" w:space="0"/>
              <w:bottom w:val="single" w:color="auto" w:sz="4" w:space="0"/>
            </w:tcBorders>
            <w:noWrap w:val="0"/>
            <w:vAlign w:val="top"/>
          </w:tcPr>
          <w:p w14:paraId="5CE176A1">
            <w:pPr>
              <w:pStyle w:val="23"/>
              <w:spacing w:line="36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环境影响评价的主要环境影响预测及结论</w:t>
            </w:r>
          </w:p>
          <w:p w14:paraId="30263119">
            <w:pPr>
              <w:pStyle w:val="23"/>
              <w:spacing w:line="360" w:lineRule="auto"/>
              <w:jc w:val="both"/>
              <w:rPr>
                <w:rFonts w:hint="default" w:ascii="Times New Roman" w:hAnsi="Times New Roman" w:cs="Times New Roman"/>
                <w:b/>
                <w:color w:val="auto"/>
                <w:sz w:val="24"/>
                <w:szCs w:val="24"/>
                <w:lang w:val="en-US"/>
              </w:rPr>
            </w:pPr>
            <w:r>
              <w:rPr>
                <w:rFonts w:hint="eastAsia" w:cs="Times New Roman"/>
                <w:b/>
                <w:color w:val="auto"/>
                <w:sz w:val="24"/>
                <w:szCs w:val="24"/>
                <w:lang w:eastAsia="zh-CN"/>
              </w:rPr>
              <w:t>（</w:t>
            </w:r>
            <w:r>
              <w:rPr>
                <w:rFonts w:hint="eastAsia" w:cs="Times New Roman"/>
                <w:b/>
                <w:color w:val="auto"/>
                <w:sz w:val="24"/>
                <w:szCs w:val="24"/>
                <w:lang w:val="en-US" w:eastAsia="zh-CN"/>
              </w:rPr>
              <w:t>一</w:t>
            </w:r>
            <w:r>
              <w:rPr>
                <w:rFonts w:hint="eastAsia" w:cs="Times New Roman"/>
                <w:b/>
                <w:color w:val="auto"/>
                <w:sz w:val="24"/>
                <w:szCs w:val="24"/>
                <w:lang w:eastAsia="zh-CN"/>
              </w:rPr>
              <w:t>）</w:t>
            </w:r>
            <w:r>
              <w:rPr>
                <w:rFonts w:hint="default" w:ascii="Times New Roman" w:hAnsi="Times New Roman" w:cs="Times New Roman"/>
                <w:b/>
                <w:color w:val="auto"/>
                <w:sz w:val="24"/>
                <w:szCs w:val="24"/>
                <w:lang w:val="en-US" w:eastAsia="zh-CN"/>
              </w:rPr>
              <w:t>环境影响预测结论</w:t>
            </w:r>
          </w:p>
          <w:p w14:paraId="43785241">
            <w:pPr>
              <w:pStyle w:val="23"/>
              <w:spacing w:line="360" w:lineRule="auto"/>
              <w:ind w:firstLine="482" w:firstLineChars="200"/>
              <w:jc w:val="both"/>
              <w:rPr>
                <w:rFonts w:hint="default" w:ascii="Times New Roman" w:hAnsi="Times New Roman" w:eastAsia="宋体" w:cs="Times New Roman"/>
                <w:b/>
                <w:color w:val="auto"/>
                <w:sz w:val="24"/>
                <w:lang w:val="en-US" w:eastAsia="zh-CN"/>
              </w:rPr>
            </w:pPr>
            <w:r>
              <w:rPr>
                <w:rFonts w:hint="eastAsia" w:cs="Times New Roman"/>
                <w:b/>
                <w:color w:val="auto"/>
                <w:sz w:val="24"/>
                <w:szCs w:val="24"/>
                <w:lang w:val="en-US" w:eastAsia="zh-CN"/>
              </w:rPr>
              <w:t>1、</w:t>
            </w:r>
            <w:r>
              <w:rPr>
                <w:rFonts w:hint="default" w:ascii="Times New Roman" w:hAnsi="Times New Roman" w:cs="Times New Roman"/>
                <w:b/>
                <w:color w:val="auto"/>
                <w:sz w:val="24"/>
                <w:szCs w:val="24"/>
                <w:lang w:val="en-US" w:eastAsia="zh-CN"/>
              </w:rPr>
              <w:t>施工期环境影响预测结论</w:t>
            </w:r>
          </w:p>
          <w:p w14:paraId="2A8F49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剥离表土可用于削坡治理覆土，剥离的风化层，利用自卸汽车运送至</w:t>
            </w:r>
            <w:r>
              <w:rPr>
                <w:rFonts w:hint="eastAsia" w:cs="Times New Roman"/>
                <w:sz w:val="24"/>
                <w:szCs w:val="24"/>
                <w:lang w:val="en-US" w:eastAsia="zh-CN"/>
              </w:rPr>
              <w:t>指定</w:t>
            </w:r>
            <w:r>
              <w:rPr>
                <w:rFonts w:hint="default" w:ascii="Times New Roman" w:hAnsi="Times New Roman" w:eastAsia="宋体" w:cs="Times New Roman"/>
                <w:sz w:val="24"/>
                <w:szCs w:val="24"/>
                <w:lang w:val="en-US" w:eastAsia="zh-CN"/>
              </w:rPr>
              <w:t>排土场堆存。</w:t>
            </w:r>
          </w:p>
          <w:p w14:paraId="14D79C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施工期生态环境影响主要为部分矿区运输道路和排截水沟的修建及表土的剥离破坏了土地构型，破坏了植被，影响了自然景观。建设单位在施工过程中应尽量减少对地表及植被的破坏，并及时进行恢复和补植。</w:t>
            </w:r>
          </w:p>
          <w:p w14:paraId="0BFA237D">
            <w:pPr>
              <w:pStyle w:val="23"/>
              <w:spacing w:line="360" w:lineRule="auto"/>
              <w:ind w:firstLine="480" w:firstLineChars="200"/>
              <w:jc w:val="both"/>
              <w:rPr>
                <w:rFonts w:hint="default" w:ascii="Times New Roman" w:hAnsi="Times New Roman" w:cs="Times New Roman"/>
                <w:b/>
                <w:color w:val="auto"/>
                <w:sz w:val="24"/>
                <w:szCs w:val="24"/>
                <w:lang w:val="en-US"/>
              </w:rPr>
            </w:pPr>
            <w:r>
              <w:rPr>
                <w:rFonts w:hint="default" w:ascii="Times New Roman" w:hAnsi="Times New Roman" w:eastAsia="宋体" w:cs="Times New Roman"/>
                <w:sz w:val="24"/>
                <w:szCs w:val="24"/>
                <w:lang w:val="en-US" w:eastAsia="zh-CN"/>
              </w:rPr>
              <w:t>施工单位应严格按照有关规定采取上述措施进行污染防治，并加强环保监管，使本项目施工对周围环境的影响降低到最小。</w:t>
            </w:r>
          </w:p>
          <w:p w14:paraId="1019B6D1">
            <w:pPr>
              <w:pStyle w:val="23"/>
              <w:spacing w:line="360" w:lineRule="auto"/>
              <w:ind w:firstLine="482" w:firstLineChars="200"/>
              <w:jc w:val="both"/>
              <w:rPr>
                <w:rFonts w:hint="default" w:ascii="Times New Roman" w:hAnsi="Times New Roman" w:cs="Times New Roman"/>
                <w:b/>
                <w:color w:val="auto"/>
                <w:sz w:val="24"/>
              </w:rPr>
            </w:pPr>
            <w:r>
              <w:rPr>
                <w:rFonts w:hint="eastAsia" w:cs="Times New Roman"/>
                <w:b/>
                <w:color w:val="auto"/>
                <w:sz w:val="24"/>
                <w:szCs w:val="24"/>
                <w:lang w:val="en-US" w:eastAsia="zh-CN"/>
              </w:rPr>
              <w:t>2、</w:t>
            </w:r>
            <w:r>
              <w:rPr>
                <w:rFonts w:hint="default" w:ascii="Times New Roman" w:hAnsi="Times New Roman" w:cs="Times New Roman"/>
                <w:b/>
                <w:color w:val="auto"/>
                <w:sz w:val="24"/>
                <w:szCs w:val="24"/>
                <w:lang w:val="en-US" w:eastAsia="zh-CN"/>
              </w:rPr>
              <w:t>运营期环境影响预测结论</w:t>
            </w:r>
          </w:p>
          <w:p w14:paraId="520548F6">
            <w:pPr>
              <w:adjustRightInd w:val="0"/>
              <w:snapToGrid w:val="0"/>
              <w:spacing w:line="360" w:lineRule="auto"/>
              <w:ind w:firstLine="480" w:firstLineChars="200"/>
              <w:jc w:val="both"/>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（1）废气。</w:t>
            </w:r>
          </w:p>
          <w:p w14:paraId="7735C680">
            <w:pPr>
              <w:pStyle w:val="23"/>
              <w:spacing w:line="360" w:lineRule="auto"/>
              <w:ind w:firstLine="480" w:firstLineChars="200"/>
              <w:jc w:val="both"/>
              <w:rPr>
                <w:rFonts w:hint="default" w:ascii="Times New Roman" w:hAnsi="Times New Roman" w:eastAsia="宋体" w:cs="Times New Roman"/>
                <w:color w:val="auto"/>
                <w:sz w:val="24"/>
                <w:szCs w:val="24"/>
                <w:lang w:val="en-US" w:eastAsia="zh-CN" w:bidi="zh-CN"/>
              </w:rPr>
            </w:pP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lang w:eastAsia="zh-CN"/>
              </w:rPr>
              <w:t>采取湿式除尘、开采时喷雾抑尘、定期洒水、路面硬化，控制车速和载重</w:t>
            </w:r>
            <w:r>
              <w:rPr>
                <w:rFonts w:hint="eastAsia" w:ascii="Times New Roman" w:hAnsi="Times New Roman" w:eastAsia="宋体" w:cs="Times New Roman"/>
                <w:sz w:val="24"/>
                <w:szCs w:val="24"/>
                <w:lang w:val="en-US" w:eastAsia="zh-CN"/>
              </w:rPr>
              <w:t>，</w:t>
            </w:r>
            <w:r>
              <w:rPr>
                <w:rFonts w:hint="default" w:ascii="Times New Roman" w:hAnsi="Times New Roman" w:cs="Times New Roman"/>
                <w:color w:val="auto"/>
                <w:sz w:val="24"/>
                <w:szCs w:val="24"/>
                <w:highlight w:val="none"/>
              </w:rPr>
              <w:t>排放的大气污染物在下风向最大落地浓度能满足《环境空气质量标准》（GB3095-2012）</w:t>
            </w:r>
            <w:r>
              <w:rPr>
                <w:rFonts w:hint="eastAsia" w:cs="Times New Roman"/>
                <w:color w:val="auto"/>
                <w:sz w:val="24"/>
                <w:szCs w:val="24"/>
                <w:highlight w:val="none"/>
                <w:lang w:val="en-US" w:eastAsia="zh-CN"/>
              </w:rPr>
              <w:t>及修改单</w:t>
            </w:r>
            <w:r>
              <w:rPr>
                <w:rFonts w:hint="default" w:ascii="Times New Roman" w:hAnsi="Times New Roman" w:cs="Times New Roman"/>
                <w:color w:val="auto"/>
                <w:sz w:val="24"/>
                <w:szCs w:val="24"/>
                <w:highlight w:val="none"/>
              </w:rPr>
              <w:t>中二级标准要求</w:t>
            </w:r>
            <w:r>
              <w:rPr>
                <w:rFonts w:hint="eastAsia" w:ascii="Times New Roman" w:hAnsi="Times New Roman" w:cs="Times New Roman"/>
                <w:color w:val="auto"/>
                <w:sz w:val="24"/>
                <w:szCs w:val="24"/>
                <w:highlight w:val="none"/>
                <w:lang w:eastAsia="zh-CN"/>
              </w:rPr>
              <w:t>。</w:t>
            </w:r>
          </w:p>
          <w:p w14:paraId="56B1EAB8">
            <w:pPr>
              <w:pStyle w:val="23"/>
              <w:spacing w:line="360" w:lineRule="auto"/>
              <w:ind w:firstLine="480" w:firstLineChars="200"/>
              <w:jc w:val="both"/>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（2）废水</w:t>
            </w:r>
          </w:p>
          <w:p w14:paraId="6D4E65E2">
            <w:pPr>
              <w:pStyle w:val="23"/>
              <w:spacing w:line="360" w:lineRule="auto"/>
              <w:ind w:firstLine="480" w:firstLineChars="200"/>
              <w:jc w:val="both"/>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kern w:val="0"/>
                <w:sz w:val="24"/>
                <w:szCs w:val="24"/>
                <w:highlight w:val="none"/>
                <w:lang w:val="en-US" w:eastAsia="zh-CN"/>
              </w:rPr>
              <w:t>项目运营期废水主要是生活污水（食堂、办公</w:t>
            </w:r>
            <w:r>
              <w:rPr>
                <w:rFonts w:hint="eastAsia" w:cs="Times New Roman"/>
                <w:color w:val="auto"/>
                <w:kern w:val="0"/>
                <w:sz w:val="24"/>
                <w:szCs w:val="24"/>
                <w:highlight w:val="none"/>
                <w:lang w:val="en-US" w:eastAsia="zh-CN"/>
              </w:rPr>
              <w:t>生活污水</w:t>
            </w:r>
            <w:r>
              <w:rPr>
                <w:rFonts w:hint="default" w:ascii="Times New Roman" w:hAnsi="Times New Roman" w:eastAsia="宋体" w:cs="Times New Roman"/>
                <w:color w:val="auto"/>
                <w:kern w:val="0"/>
                <w:sz w:val="24"/>
                <w:szCs w:val="24"/>
                <w:highlight w:val="none"/>
                <w:lang w:val="en-US" w:eastAsia="zh-CN"/>
              </w:rPr>
              <w:t>）、生产废水和初期雨水。生活污水经一体化污水处理设备处理后</w:t>
            </w:r>
            <w:r>
              <w:rPr>
                <w:rFonts w:hint="eastAsia" w:eastAsia="宋体" w:cs="Times New Roman"/>
                <w:color w:val="auto"/>
                <w:kern w:val="0"/>
                <w:sz w:val="24"/>
                <w:szCs w:val="24"/>
                <w:highlight w:val="none"/>
                <w:lang w:val="en-US" w:eastAsia="zh-CN"/>
              </w:rPr>
              <w:t>回用于生产</w:t>
            </w:r>
            <w:r>
              <w:rPr>
                <w:rFonts w:hint="default" w:ascii="Times New Roman" w:hAnsi="Times New Roman" w:eastAsia="宋体" w:cs="Times New Roman"/>
                <w:color w:val="auto"/>
                <w:kern w:val="0"/>
                <w:sz w:val="24"/>
                <w:szCs w:val="24"/>
                <w:highlight w:val="none"/>
                <w:lang w:val="en-US" w:eastAsia="zh-CN"/>
              </w:rPr>
              <w:t>，生产废水和初期雨水</w:t>
            </w:r>
            <w:r>
              <w:rPr>
                <w:rFonts w:hint="eastAsia" w:eastAsia="宋体" w:cs="Times New Roman"/>
                <w:color w:val="auto"/>
                <w:kern w:val="0"/>
                <w:sz w:val="24"/>
                <w:szCs w:val="24"/>
                <w:highlight w:val="none"/>
                <w:lang w:val="en-US" w:eastAsia="zh-CN"/>
              </w:rPr>
              <w:t>处理后</w:t>
            </w:r>
            <w:r>
              <w:rPr>
                <w:rFonts w:hint="default" w:ascii="Times New Roman" w:hAnsi="Times New Roman" w:eastAsia="宋体" w:cs="Times New Roman"/>
                <w:color w:val="auto"/>
                <w:kern w:val="0"/>
                <w:sz w:val="24"/>
                <w:szCs w:val="24"/>
                <w:highlight w:val="none"/>
                <w:lang w:val="en-US" w:eastAsia="zh-CN"/>
              </w:rPr>
              <w:t>回用于生产</w:t>
            </w:r>
            <w:r>
              <w:rPr>
                <w:rFonts w:hint="eastAsia" w:ascii="Times New Roman" w:hAnsi="Times New Roman" w:eastAsia="宋体" w:cs="Times New Roman"/>
                <w:color w:val="auto"/>
                <w:kern w:val="0"/>
                <w:sz w:val="24"/>
                <w:szCs w:val="24"/>
                <w:highlight w:val="none"/>
                <w:lang w:val="en-US" w:eastAsia="zh-CN"/>
              </w:rPr>
              <w:t>和抑尘</w:t>
            </w:r>
            <w:r>
              <w:rPr>
                <w:rFonts w:hint="default" w:ascii="Times New Roman" w:hAnsi="Times New Roman" w:eastAsia="宋体" w:cs="Times New Roman"/>
                <w:color w:val="auto"/>
                <w:kern w:val="0"/>
                <w:sz w:val="24"/>
                <w:szCs w:val="24"/>
                <w:highlight w:val="none"/>
                <w:lang w:val="en-US" w:eastAsia="zh-CN"/>
              </w:rPr>
              <w:t>，不外排</w:t>
            </w:r>
            <w:r>
              <w:rPr>
                <w:rFonts w:hint="default" w:ascii="Times New Roman" w:hAnsi="Times New Roman" w:cs="Times New Roman"/>
                <w:bCs/>
                <w:sz w:val="24"/>
                <w:szCs w:val="24"/>
                <w:highlight w:val="none"/>
                <w:lang w:val="en-US" w:eastAsia="zh-CN"/>
              </w:rPr>
              <w:t>。</w:t>
            </w:r>
          </w:p>
          <w:p w14:paraId="38FBFC7A">
            <w:pPr>
              <w:pStyle w:val="23"/>
              <w:spacing w:line="360" w:lineRule="auto"/>
              <w:ind w:firstLine="480" w:firstLineChars="200"/>
              <w:jc w:val="both"/>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（3）噪声</w:t>
            </w:r>
          </w:p>
          <w:p w14:paraId="25D54A7B">
            <w:pPr>
              <w:pStyle w:val="23"/>
              <w:spacing w:line="360" w:lineRule="auto"/>
              <w:ind w:firstLine="480" w:firstLineChars="200"/>
              <w:jc w:val="both"/>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000000"/>
                <w:sz w:val="24"/>
              </w:rPr>
              <w:t>本工程的噪声污染几乎伴随着整个开采加工过程，其特点是声源分布散，排放强度大</w:t>
            </w:r>
            <w:r>
              <w:rPr>
                <w:rFonts w:hint="default" w:ascii="Times New Roman" w:hAnsi="Times New Roman" w:eastAsia="宋体" w:cs="Times New Roman"/>
                <w:color w:val="auto"/>
                <w:sz w:val="24"/>
                <w:szCs w:val="24"/>
                <w:lang w:val="en-US" w:eastAsia="zh-CN" w:bidi="zh-CN"/>
              </w:rPr>
              <w:t>。</w:t>
            </w:r>
          </w:p>
          <w:p w14:paraId="309A1D2D">
            <w:pPr>
              <w:pStyle w:val="23"/>
              <w:spacing w:line="360" w:lineRule="auto"/>
              <w:ind w:firstLine="480" w:firstLineChars="200"/>
              <w:jc w:val="both"/>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（4）固废</w:t>
            </w:r>
          </w:p>
          <w:p w14:paraId="6A3AF931">
            <w:pPr>
              <w:pStyle w:val="23"/>
              <w:spacing w:line="360" w:lineRule="auto"/>
              <w:ind w:firstLine="480" w:firstLineChars="200"/>
              <w:jc w:val="both"/>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zh-CN" w:eastAsia="zh-CN" w:bidi="zh-CN"/>
              </w:rPr>
              <w:t>项目产生的固体废物均能得到有效处置，对周围环境影响较小。</w:t>
            </w:r>
          </w:p>
          <w:p w14:paraId="77487821">
            <w:pPr>
              <w:pStyle w:val="23"/>
              <w:spacing w:line="360" w:lineRule="auto"/>
              <w:ind w:firstLine="480" w:firstLineChars="200"/>
              <w:jc w:val="both"/>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（5）生态</w:t>
            </w:r>
          </w:p>
          <w:p w14:paraId="2EED7015">
            <w:pPr>
              <w:pStyle w:val="35"/>
              <w:ind w:firstLine="480"/>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lang w:eastAsia="zh-CN"/>
              </w:rPr>
              <w:t>随着矿山露天开采的进行，采场内地貌继续发生改变，采区内植被完全被清除、表土全部被剥离，周边形成了较陡的人工开采边坡，出现更大面积的裸露面。采矿和弃渣堆放活动造成植被、土壤及山体的破坏和地表裸露，人工痕迹更加明显，与周边的林草覆盖的丘陵以及农田景观不和谐，使区域生态景观原有的协调性和自然性受到破坏，影响了视感景观。</w:t>
            </w:r>
          </w:p>
          <w:p w14:paraId="7D6A5C96">
            <w:pPr>
              <w:pStyle w:val="23"/>
              <w:spacing w:line="360" w:lineRule="auto"/>
              <w:ind w:firstLine="480" w:firstLineChars="200"/>
              <w:jc w:val="both"/>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000000"/>
                <w:lang w:eastAsia="zh-CN"/>
              </w:rPr>
              <w:t>由于矿石的开采，部分地表植被遭到剥除。随着开采时间的推移，破坏植被面积也将不断增加，被破坏植被主要为次生草丛；项目运行期矿山将有步骤的进行绿化和土地复垦，闭坑后进行全面的生态恢复，受损的植被最终将得到恢复。</w:t>
            </w:r>
          </w:p>
          <w:p w14:paraId="1B55F7BF">
            <w:pPr>
              <w:autoSpaceDN w:val="0"/>
              <w:spacing w:line="360" w:lineRule="auto"/>
              <w:ind w:firstLine="480" w:firstLineChars="200"/>
              <w:jc w:val="both"/>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000000"/>
                <w:lang w:eastAsia="zh-CN"/>
              </w:rPr>
              <w:t>矿石露天开采活动挖损和压占了土地资源，该矿山占用破坏的土地类型主要是林地</w:t>
            </w:r>
            <w:r>
              <w:rPr>
                <w:rFonts w:hint="eastAsia" w:ascii="Times New Roman" w:hAnsi="Times New Roman" w:eastAsia="宋体" w:cs="Times New Roman"/>
                <w:color w:val="000000"/>
                <w:lang w:eastAsia="zh-CN"/>
              </w:rPr>
              <w:t>和耕地</w:t>
            </w:r>
            <w:r>
              <w:rPr>
                <w:rFonts w:hint="default" w:ascii="Times New Roman" w:hAnsi="Times New Roman" w:eastAsia="宋体" w:cs="Times New Roman"/>
                <w:color w:val="000000"/>
                <w:lang w:eastAsia="zh-CN"/>
              </w:rPr>
              <w:t>。由于矿区破坏的土地面积不大，且采矿权人未来将对被破坏的土地进行复垦，项目对区域土地利用影响较小，做好水土保持措施和土地复垦措施后，对土壤的影响也较小。</w:t>
            </w:r>
          </w:p>
          <w:p w14:paraId="413FFBD8">
            <w:pPr>
              <w:pStyle w:val="35"/>
              <w:ind w:firstLine="480"/>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lang w:eastAsia="zh-CN"/>
              </w:rPr>
              <w:t>项目在生产过程中，损坏原地貌、地表植物和土壤结构，增加了裸露面积，使表土的抗蚀、抗冲能力减弱，并移动大量的土石方，若不采取相应的防治措施，遇暴雨会形成严重水土流失，加剧本工程水土流失强度。落实水土保持方案后，整个工程区域内的水土流失强度</w:t>
            </w:r>
            <w:r>
              <w:rPr>
                <w:rFonts w:hint="eastAsia" w:ascii="Times New Roman" w:hAnsi="Times New Roman" w:eastAsia="宋体" w:cs="Times New Roman"/>
                <w:color w:val="000000"/>
                <w:lang w:val="en-US" w:eastAsia="zh-CN"/>
              </w:rPr>
              <w:t>不</w:t>
            </w:r>
            <w:r>
              <w:rPr>
                <w:rFonts w:hint="default" w:ascii="Times New Roman" w:hAnsi="Times New Roman" w:eastAsia="宋体" w:cs="Times New Roman"/>
                <w:color w:val="000000"/>
                <w:lang w:eastAsia="zh-CN"/>
              </w:rPr>
              <w:t>低于原有水平。</w:t>
            </w:r>
          </w:p>
          <w:p w14:paraId="470A9D8F">
            <w:pPr>
              <w:spacing w:after="60" w:line="360" w:lineRule="auto"/>
              <w:ind w:firstLine="480" w:firstLineChars="200"/>
              <w:contextualSpacing/>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000000"/>
                <w:sz w:val="24"/>
                <w:szCs w:val="24"/>
                <w:lang w:eastAsia="zh-CN"/>
              </w:rPr>
              <w:t>矿区范围内的野生动物以野兔、刺猬、蛇、蛙类为主，国家及省级保护动物己难以发现。矿区周围可栖息的范围较广，总体环境优越，是野生动物的良好栖息场所。在矿山开采结束复垦后，部分野生动物又可以回到原栖息地附近区域继续繁衍生息，因此，该项目的生产活动对区内的动</w:t>
            </w:r>
            <w:r>
              <w:rPr>
                <w:rFonts w:hint="eastAsia" w:ascii="Times New Roman" w:hAnsi="Times New Roman" w:eastAsia="宋体" w:cs="Times New Roman"/>
                <w:color w:val="000000"/>
                <w:sz w:val="24"/>
                <w:szCs w:val="24"/>
                <w:lang w:eastAsia="zh-CN"/>
              </w:rPr>
              <w:t>物影响较小。</w:t>
            </w:r>
          </w:p>
          <w:p w14:paraId="165CB5B6">
            <w:pPr>
              <w:autoSpaceDN w:val="0"/>
              <w:spacing w:line="360" w:lineRule="auto"/>
              <w:ind w:firstLine="480" w:firstLineChars="200"/>
              <w:jc w:val="both"/>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（7）风险</w:t>
            </w:r>
          </w:p>
          <w:p w14:paraId="5B6DE5E7">
            <w:pPr>
              <w:pStyle w:val="23"/>
              <w:spacing w:line="360" w:lineRule="auto"/>
              <w:ind w:firstLine="480" w:firstLineChars="200"/>
              <w:jc w:val="both"/>
              <w:rPr>
                <w:rFonts w:hint="default" w:ascii="Times New Roman" w:hAnsi="Times New Roman" w:cs="Times New Roman"/>
                <w:b/>
                <w:color w:val="auto"/>
                <w:sz w:val="24"/>
                <w:szCs w:val="24"/>
                <w:lang w:val="en-US"/>
              </w:rPr>
            </w:pPr>
            <w:r>
              <w:rPr>
                <w:rFonts w:hint="default" w:ascii="Times New Roman" w:hAnsi="Times New Roman" w:eastAsia="宋体" w:cs="Times New Roman"/>
                <w:color w:val="000000"/>
                <w:sz w:val="24"/>
                <w:szCs w:val="28"/>
              </w:rPr>
              <w:t>若开采过程中，不合理的开采方法导致人工边坡过陡、过高，可能诱发以剥落掉块、崩塌、地裂缝及山体开裂为主，局部有可能形成小型滑坡的地质灾害。类比国内相关统计资料，该风险发生概率小于1×10</w:t>
            </w:r>
            <w:r>
              <w:rPr>
                <w:rFonts w:hint="default" w:ascii="Times New Roman" w:hAnsi="Times New Roman" w:eastAsia="宋体" w:cs="Times New Roman"/>
                <w:color w:val="000000"/>
                <w:sz w:val="24"/>
                <w:szCs w:val="28"/>
                <w:vertAlign w:val="superscript"/>
              </w:rPr>
              <w:t>-2</w:t>
            </w:r>
            <w:r>
              <w:rPr>
                <w:rFonts w:hint="default" w:ascii="Times New Roman" w:hAnsi="Times New Roman" w:eastAsia="宋体" w:cs="Times New Roman"/>
                <w:color w:val="000000"/>
                <w:sz w:val="24"/>
                <w:szCs w:val="28"/>
              </w:rPr>
              <w:t>次／年。根据开采境界的规划以及居民点分布情况，露天采场滑坡风险影响范围局限于采矿工作面，不会影响到周围居民点</w:t>
            </w:r>
          </w:p>
          <w:p w14:paraId="485D195A">
            <w:pPr>
              <w:pStyle w:val="23"/>
              <w:spacing w:line="360" w:lineRule="auto"/>
              <w:ind w:firstLine="482" w:firstLineChars="200"/>
              <w:jc w:val="both"/>
              <w:rPr>
                <w:rFonts w:hint="default" w:ascii="Times New Roman" w:hAnsi="Times New Roman" w:cs="Times New Roman"/>
                <w:b/>
                <w:color w:val="auto"/>
                <w:sz w:val="24"/>
                <w:szCs w:val="24"/>
                <w:lang w:val="en-US"/>
              </w:rPr>
            </w:pPr>
            <w:r>
              <w:rPr>
                <w:rFonts w:hint="eastAsia" w:cs="Times New Roman"/>
                <w:b/>
                <w:color w:val="auto"/>
                <w:sz w:val="24"/>
                <w:szCs w:val="24"/>
                <w:lang w:val="en-US" w:eastAsia="zh-CN"/>
              </w:rPr>
              <w:t>3、</w:t>
            </w:r>
            <w:r>
              <w:rPr>
                <w:rFonts w:hint="default" w:ascii="Times New Roman" w:hAnsi="Times New Roman" w:cs="Times New Roman"/>
                <w:b/>
                <w:color w:val="auto"/>
                <w:sz w:val="24"/>
                <w:szCs w:val="24"/>
                <w:lang w:val="en-US"/>
              </w:rPr>
              <w:t>环境影响评价结论</w:t>
            </w:r>
          </w:p>
          <w:p w14:paraId="761BB52F">
            <w:pPr>
              <w:adjustRightInd w:val="0"/>
              <w:snapToGrid w:val="0"/>
              <w:spacing w:line="360" w:lineRule="auto"/>
              <w:ind w:firstLine="480" w:firstLineChars="200"/>
              <w:jc w:val="both"/>
              <w:rPr>
                <w:rFonts w:hint="default" w:ascii="Times New Roman" w:hAnsi="Times New Roman" w:cs="Times New Roman"/>
                <w:color w:val="auto"/>
                <w:sz w:val="24"/>
                <w:szCs w:val="24"/>
              </w:rPr>
            </w:pPr>
            <w:r>
              <w:rPr>
                <w:rFonts w:hint="eastAsia" w:cs="Times New Roman"/>
                <w:sz w:val="24"/>
                <w:szCs w:val="24"/>
                <w:lang w:eastAsia="zh-CN"/>
              </w:rPr>
              <w:t>湖北省嘉丰泰华矿业有限公司白鸭山矿区C8区块饰面用花岗岩矿开采项目</w:t>
            </w:r>
            <w:r>
              <w:rPr>
                <w:rFonts w:hint="default" w:ascii="Times New Roman" w:hAnsi="Times New Roman" w:cs="Times New Roman"/>
                <w:sz w:val="24"/>
                <w:szCs w:val="24"/>
              </w:rPr>
              <w:t>建设符合国家有关产业政策要求，项目的实施有利于促进地方经济发展，合理有效的利用资源，项目在按本评价提出的污染治理措施和生态恢复措施完善后，符合项目的建设特点和环境保护要求，具有良好的经济效益、社会效益和环境效益。建设单位在落实各项污染防治措施及生态保护措施后，严格执行</w:t>
            </w:r>
            <w:r>
              <w:rPr>
                <w:rFonts w:hint="eastAsia" w:ascii="Times New Roman" w:hAnsi="Times New Roman" w:cs="Times New Roman"/>
                <w:sz w:val="24"/>
                <w:szCs w:val="24"/>
                <w:lang w:eastAsia="zh-CN"/>
              </w:rPr>
              <w:t>“</w:t>
            </w:r>
            <w:r>
              <w:rPr>
                <w:rFonts w:hint="default" w:ascii="Times New Roman" w:hAnsi="Times New Roman" w:cs="Times New Roman"/>
                <w:sz w:val="24"/>
                <w:szCs w:val="24"/>
              </w:rPr>
              <w:t>三同时</w:t>
            </w:r>
            <w:r>
              <w:rPr>
                <w:rFonts w:hint="eastAsia" w:ascii="Times New Roman" w:hAnsi="Times New Roman" w:cs="Times New Roman"/>
                <w:sz w:val="24"/>
                <w:szCs w:val="24"/>
                <w:lang w:eastAsia="zh-CN"/>
              </w:rPr>
              <w:t>”</w:t>
            </w:r>
            <w:r>
              <w:rPr>
                <w:rFonts w:hint="default" w:ascii="Times New Roman" w:hAnsi="Times New Roman" w:cs="Times New Roman"/>
                <w:sz w:val="24"/>
                <w:szCs w:val="24"/>
              </w:rPr>
              <w:t>，确保各项污染物达标排放，从环保角度分析，项目的建设可行。</w:t>
            </w:r>
          </w:p>
        </w:tc>
      </w:tr>
      <w:tr w14:paraId="40F85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tcBorders>
              <w:top w:val="single" w:color="auto" w:sz="4" w:space="0"/>
              <w:bottom w:val="single" w:color="auto" w:sz="4" w:space="0"/>
            </w:tcBorders>
            <w:noWrap w:val="0"/>
            <w:vAlign w:val="top"/>
          </w:tcPr>
          <w:p w14:paraId="0EE9A882">
            <w:pPr>
              <w:pStyle w:val="23"/>
              <w:spacing w:line="360" w:lineRule="auto"/>
              <w:jc w:val="both"/>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各级环境保护行政主管部门的审批意见（国家、省、行业）</w:t>
            </w:r>
          </w:p>
          <w:p w14:paraId="1694FA9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cs="Times New Roman"/>
                <w:color w:val="auto"/>
                <w:sz w:val="24"/>
                <w:szCs w:val="24"/>
                <w:lang w:val="en-US" w:eastAsia="zh-CN" w:bidi="ar-SA"/>
              </w:rPr>
            </w:pPr>
            <w:r>
              <w:rPr>
                <w:rFonts w:hint="default" w:ascii="Times New Roman" w:hAnsi="Times New Roman" w:cs="Times New Roman"/>
                <w:color w:val="auto"/>
                <w:sz w:val="24"/>
                <w:szCs w:val="24"/>
                <w:lang w:val="en-US" w:eastAsia="zh-CN" w:bidi="ar-SA"/>
              </w:rPr>
              <w:t>黄冈市生态环境局</w:t>
            </w:r>
            <w:r>
              <w:rPr>
                <w:rFonts w:hint="eastAsia" w:ascii="Times New Roman" w:hAnsi="Times New Roman" w:cs="Times New Roman"/>
                <w:color w:val="auto"/>
                <w:sz w:val="24"/>
                <w:szCs w:val="24"/>
                <w:lang w:val="en-US" w:eastAsia="zh-CN" w:bidi="ar-SA"/>
              </w:rPr>
              <w:t>麻城市</w:t>
            </w:r>
            <w:r>
              <w:rPr>
                <w:rFonts w:hint="default" w:ascii="Times New Roman" w:hAnsi="Times New Roman" w:cs="Times New Roman"/>
                <w:color w:val="auto"/>
                <w:sz w:val="24"/>
                <w:szCs w:val="24"/>
                <w:lang w:val="en-US" w:eastAsia="zh-CN" w:bidi="ar-SA"/>
              </w:rPr>
              <w:t>分局于</w:t>
            </w:r>
            <w:r>
              <w:rPr>
                <w:rFonts w:hint="default" w:ascii="Times New Roman" w:hAnsi="Times New Roman" w:eastAsia="宋体" w:cs="Times New Roman"/>
                <w:sz w:val="24"/>
                <w:szCs w:val="24"/>
                <w:lang w:val="en-US" w:eastAsia="zh-CN"/>
              </w:rPr>
              <w:t>202</w:t>
            </w:r>
            <w:r>
              <w:rPr>
                <w:rFonts w:hint="eastAsia" w:eastAsia="宋体" w:cs="Times New Roman"/>
                <w:sz w:val="24"/>
                <w:szCs w:val="24"/>
                <w:lang w:val="en-US" w:eastAsia="zh-CN"/>
              </w:rPr>
              <w:t>4</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val="en-US" w:eastAsia="zh-CN"/>
              </w:rPr>
              <w:t>日</w:t>
            </w:r>
            <w:r>
              <w:rPr>
                <w:rFonts w:hint="default" w:ascii="Times New Roman" w:hAnsi="Times New Roman" w:cs="Times New Roman"/>
                <w:color w:val="auto"/>
                <w:sz w:val="24"/>
                <w:szCs w:val="24"/>
                <w:lang w:val="en-US" w:eastAsia="zh-CN" w:bidi="ar-SA"/>
              </w:rPr>
              <w:t>下达了</w:t>
            </w:r>
            <w:r>
              <w:rPr>
                <w:rFonts w:hint="eastAsia" w:ascii="Times New Roman" w:hAnsi="Times New Roman" w:cs="Times New Roman"/>
                <w:color w:val="auto"/>
                <w:sz w:val="24"/>
                <w:szCs w:val="24"/>
                <w:lang w:val="en-US" w:eastAsia="zh-CN" w:bidi="ar-SA"/>
              </w:rPr>
              <w:t>“关于湖北省嘉丰泰华矿业有限公司白鸭山矿区C8区块饰面用花岗岩矿开采项目环境影响报告表的批复”</w:t>
            </w:r>
            <w:r>
              <w:rPr>
                <w:rFonts w:hint="default" w:ascii="Times New Roman" w:hAnsi="Times New Roman" w:cs="Times New Roman"/>
                <w:color w:val="auto"/>
                <w:sz w:val="24"/>
                <w:szCs w:val="24"/>
                <w:lang w:val="en-US" w:eastAsia="zh-CN" w:bidi="ar-SA"/>
              </w:rPr>
              <w:t>（</w:t>
            </w:r>
            <w:r>
              <w:rPr>
                <w:rFonts w:hint="eastAsia" w:ascii="Times New Roman" w:hAnsi="Times New Roman" w:cs="Times New Roman"/>
                <w:color w:val="auto"/>
                <w:sz w:val="24"/>
                <w:szCs w:val="24"/>
                <w:lang w:val="en-US" w:eastAsia="zh-CN" w:bidi="ar-SA"/>
              </w:rPr>
              <w:t>麻环审[2024]20号</w:t>
            </w:r>
            <w:r>
              <w:rPr>
                <w:rFonts w:hint="default" w:ascii="Times New Roman" w:hAnsi="Times New Roman" w:cs="Times New Roman"/>
                <w:color w:val="auto"/>
                <w:sz w:val="24"/>
                <w:szCs w:val="24"/>
                <w:lang w:val="en-US" w:eastAsia="zh-CN" w:bidi="ar-SA"/>
              </w:rPr>
              <w:t>），主要内容如下：</w:t>
            </w:r>
          </w:p>
          <w:p w14:paraId="7FA450A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cs="Times New Roman"/>
                <w:color w:val="auto"/>
                <w:spacing w:val="0"/>
                <w:w w:val="100"/>
                <w:position w:val="0"/>
                <w:sz w:val="24"/>
                <w:szCs w:val="24"/>
                <w:u w:val="none"/>
                <w:lang w:val="en-US"/>
              </w:rPr>
            </w:pPr>
            <w:r>
              <w:rPr>
                <w:rFonts w:hint="default" w:ascii="Times New Roman" w:hAnsi="Times New Roman" w:cs="Times New Roman"/>
                <w:color w:val="auto"/>
                <w:spacing w:val="0"/>
                <w:w w:val="100"/>
                <w:position w:val="0"/>
                <w:sz w:val="24"/>
                <w:szCs w:val="24"/>
                <w:u w:val="none"/>
                <w:lang w:val="en-US"/>
              </w:rPr>
              <w:t>一、该项目位于湖北省麻城市白鸭山，</w:t>
            </w:r>
            <w:r>
              <w:rPr>
                <w:rFonts w:hint="eastAsia" w:ascii="Times New Roman" w:hAnsi="Times New Roman" w:cs="Times New Roman"/>
                <w:color w:val="auto"/>
                <w:spacing w:val="0"/>
                <w:w w:val="100"/>
                <w:position w:val="0"/>
                <w:sz w:val="24"/>
                <w:szCs w:val="24"/>
                <w:u w:val="none"/>
                <w:lang w:val="en-US" w:eastAsia="zh-CN"/>
              </w:rPr>
              <w:t>C8区块</w:t>
            </w:r>
            <w:r>
              <w:rPr>
                <w:rFonts w:hint="default" w:ascii="Times New Roman" w:hAnsi="Times New Roman" w:cs="Times New Roman"/>
                <w:color w:val="auto"/>
                <w:spacing w:val="0"/>
                <w:w w:val="100"/>
                <w:position w:val="0"/>
                <w:sz w:val="24"/>
                <w:szCs w:val="24"/>
                <w:u w:val="none"/>
                <w:lang w:val="en-US"/>
              </w:rPr>
              <w:t>中心地理坐标为东经115°05′25.104"、北纬30°05′24.024"</w:t>
            </w:r>
            <w:r>
              <w:rPr>
                <w:rFonts w:hint="eastAsia" w:ascii="Times New Roman" w:hAnsi="Times New Roman" w:cs="Times New Roman"/>
                <w:color w:val="auto"/>
                <w:spacing w:val="0"/>
                <w:w w:val="100"/>
                <w:position w:val="0"/>
                <w:sz w:val="24"/>
                <w:szCs w:val="24"/>
                <w:u w:val="none"/>
                <w:lang w:val="en-US" w:eastAsia="zh-CN"/>
              </w:rPr>
              <w:t>，</w:t>
            </w:r>
            <w:r>
              <w:rPr>
                <w:rFonts w:hint="default" w:ascii="Times New Roman" w:hAnsi="Times New Roman" w:cs="Times New Roman"/>
                <w:color w:val="auto"/>
                <w:spacing w:val="0"/>
                <w:w w:val="100"/>
                <w:position w:val="0"/>
                <w:sz w:val="24"/>
                <w:szCs w:val="24"/>
                <w:u w:val="none"/>
                <w:lang w:val="en-US"/>
              </w:rPr>
              <w:t>拟开采面积为2.2638平方公里，开采标高为+680.5米至+420米，开采规模为81万立方米/年，开采矿种为饰面用花岗岩，矿山服务年限为25年。矿山开采方式为露天采矿，自上而下分台阶开采，采用圆盘锯石机切割、绳锯法辅助分离、桅杆吊装或装载机铲装、汽车运输的开采工艺，其主体工程包括露天采场、办公生活区、矿区道路、供配电系统、供水系统及环保工程等。项目总投资34260.83万元，其中环保投资6049.93万元。该项目符合国家产业政策，在全面落实《报告表》中提出的各项污染防治措施后，项目的实施对环境的不利影响可得到减缓和控制，《报告表》中所列项目的性质、规模、地点、工艺和拟采取的环境保护措施可作为项目实施的依据。</w:t>
            </w:r>
          </w:p>
          <w:p w14:paraId="1B18C11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color w:val="auto"/>
                <w:sz w:val="24"/>
                <w:szCs w:val="24"/>
                <w:lang w:val="en-US"/>
              </w:rPr>
            </w:pPr>
            <w:r>
              <w:rPr>
                <w:rFonts w:hint="default" w:ascii="Times New Roman" w:hAnsi="Times New Roman" w:eastAsia="宋体" w:cs="Times New Roman"/>
                <w:b w:val="0"/>
                <w:color w:val="auto"/>
                <w:sz w:val="24"/>
                <w:szCs w:val="24"/>
                <w:lang w:val="en-US"/>
              </w:rPr>
              <w:t>二、项目实施必须严格落实《报告表》中提出的各项污染防治措施，并重点做好以下工作:</w:t>
            </w:r>
          </w:p>
          <w:p w14:paraId="6D59E21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color w:val="auto"/>
                <w:sz w:val="24"/>
                <w:szCs w:val="24"/>
                <w:lang w:val="en-US"/>
              </w:rPr>
            </w:pPr>
            <w:r>
              <w:rPr>
                <w:rFonts w:hint="default" w:ascii="Times New Roman" w:hAnsi="Times New Roman" w:eastAsia="宋体" w:cs="Times New Roman"/>
                <w:b w:val="0"/>
                <w:color w:val="auto"/>
                <w:sz w:val="24"/>
                <w:szCs w:val="24"/>
                <w:lang w:val="en-US"/>
              </w:rPr>
              <w:t>(一)严格落实生态环境保护措施。矿山开采须合理规划，控制好施工场地及道路范围，减少土地占用和地表扰动，统筹矿区资源开采规模和开采时序。应结合水保方案落实防水土流失措施，对在开采范围内的高边坡、失稳边坡进行处理，道路和场地根据需要设置截排水沟，开挖边坡营造防护林或植被进行水土保持;严禁随意开辟便道，人员不得随意进入非工程用地区域活动，严禁挖采植物、捕猎野生动物。结合项目区域自然环境特点制定服务期满后的生态修复方案，认真落实开采区、道路、弃土场等区域的复绿及水土保持措施，最大限度保护区域内动植物、土地等自然资源，以促进区域内生态环境质量恢复到开发前的水平。</w:t>
            </w:r>
          </w:p>
          <w:p w14:paraId="7332358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color w:val="auto"/>
                <w:sz w:val="24"/>
                <w:szCs w:val="24"/>
                <w:lang w:val="en-US"/>
              </w:rPr>
            </w:pPr>
            <w:r>
              <w:rPr>
                <w:rFonts w:hint="default" w:ascii="Times New Roman" w:hAnsi="Times New Roman" w:eastAsia="宋体" w:cs="Times New Roman"/>
                <w:b w:val="0"/>
                <w:color w:val="auto"/>
                <w:sz w:val="24"/>
                <w:szCs w:val="24"/>
                <w:lang w:val="en-US"/>
              </w:rPr>
              <w:t>(二)严格落实废气污染防治措施。矿区开采为露天作业，主要废气污染物为切割粉尘、运输扬尘、装卸扬尘、食堂油烟等。切割工序应采取湿法作业，严格控制剥采进度，剥采同步，避免无序开采，减少粉尘排放，荒料堆场、作业面、运输道路等起尘区域应采取喷淋洒水措施，运输道路进行硬化处理，车辆采取限速、清洗等降尘措施，确保粉尘无组织排放浓度满足《大气污染物综合排放标准》(GB16297-1996)表2中无组织排放限值要求;食堂油烟采用油烟净化装置进行处理，通过管道引至屋顶排放，应满足《饮食业油烟排放标准(试行)》(GB18483-2001)表2中排放限值要求。</w:t>
            </w:r>
          </w:p>
          <w:p w14:paraId="036EEB6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color w:val="auto"/>
                <w:sz w:val="24"/>
                <w:szCs w:val="24"/>
                <w:lang w:val="en-US"/>
              </w:rPr>
            </w:pPr>
            <w:r>
              <w:rPr>
                <w:rFonts w:hint="default" w:ascii="Times New Roman" w:hAnsi="Times New Roman" w:eastAsia="宋体" w:cs="Times New Roman"/>
                <w:b w:val="0"/>
                <w:color w:val="auto"/>
                <w:sz w:val="24"/>
                <w:szCs w:val="24"/>
                <w:lang w:val="en-US"/>
              </w:rPr>
              <w:t>(三)严格落实水污染控制措施。应在矿区上游设置防洪沟，防止场外雨水进入场内;矿区周边设置雨水截留沟，场内初期雨水汇集后进入收集池，经沉淀处理后用于矿区洒水降尘，不外排;在切割区域四周设置环形水沟，并建设足够容积的废水收集沉淀池，切割废水应全部进入废水处理站处理后回用，不得外排;矿区生活污水经一体化污水处理设备处理后进入沉淀池，回用于矿区生产，不外排;后期雨水依托白鸭山矿区雨水导排系统收集处理。</w:t>
            </w:r>
          </w:p>
          <w:p w14:paraId="04DC2A6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color w:val="auto"/>
                <w:sz w:val="24"/>
                <w:szCs w:val="24"/>
                <w:lang w:val="en-US"/>
              </w:rPr>
            </w:pPr>
            <w:r>
              <w:rPr>
                <w:rFonts w:hint="default" w:ascii="Times New Roman" w:hAnsi="Times New Roman" w:eastAsia="宋体" w:cs="Times New Roman"/>
                <w:b w:val="0"/>
                <w:color w:val="auto"/>
                <w:sz w:val="24"/>
                <w:szCs w:val="24"/>
                <w:lang w:val="en-US"/>
              </w:rPr>
              <w:t>(四)严格落实噪声污染防治措施。应选用低噪声设备，加强设备维护保养，保持良好的运行状态，产噪设备采取减振降噪措施;结合矿区终采区生态恢复和绿化，种植一些吸尘、消声能力强的树木，组成多层次的降噪屏障，以达到降噪效果;使用性能良好的运输车辆，定期进行维修保养，合理规划运输路线及运输时段，避免夜间运输，经过村庄、单位等环境敏感点时应采取减速禁鸣措施。矿区场界噪声应满足《工业企业厂界环境噪声排放标准》(GB12348-2008)2类标准限值要求。</w:t>
            </w:r>
          </w:p>
          <w:p w14:paraId="69B63B9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color w:val="auto"/>
                <w:sz w:val="24"/>
                <w:szCs w:val="24"/>
                <w:lang w:val="en-US"/>
              </w:rPr>
            </w:pPr>
            <w:r>
              <w:rPr>
                <w:rFonts w:hint="default" w:ascii="Times New Roman" w:hAnsi="Times New Roman" w:eastAsia="宋体" w:cs="Times New Roman"/>
                <w:b w:val="0"/>
                <w:color w:val="auto"/>
                <w:sz w:val="24"/>
                <w:szCs w:val="24"/>
                <w:lang w:val="en-US"/>
              </w:rPr>
              <w:t>(五)严格落实固体废物污染防治措施。开采过程中产生的废矿、边角料及雨水池、污水站产生的污泥沉渣定期清掏压滤后全部进行综合利用，及时外运至其他建材企业作为生产原材料;生活垃圾设垃圾桶分类收集，委托当地环卫部门定期清运处置;设备保养产生的废机油等危险废物应严格管控，按照《危险废物贮存污染物控制标准》(GB18597-2023)要求要求建设规范的危废间进行暂存，委托有处理资质的单位定期进行转运处置。</w:t>
            </w:r>
          </w:p>
          <w:p w14:paraId="3024CBF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color w:val="auto"/>
                <w:sz w:val="24"/>
                <w:szCs w:val="24"/>
                <w:lang w:val="en-US"/>
              </w:rPr>
            </w:pPr>
            <w:r>
              <w:rPr>
                <w:rFonts w:hint="default" w:ascii="Times New Roman" w:hAnsi="Times New Roman" w:eastAsia="宋体" w:cs="Times New Roman"/>
                <w:b w:val="0"/>
                <w:color w:val="auto"/>
                <w:sz w:val="24"/>
                <w:szCs w:val="24"/>
                <w:lang w:val="en-US"/>
              </w:rPr>
              <w:t>(六)落实各项风险防控措施，有效防范环境风险。为保证矿区安全稳定，防治水土流失、泥石流等灾害发生，防止矿区生产废水、初期雨水溢流对地表水体不良影响，应建立健全的环境与安全管理制度，加强日常管护及巡查工作。应制定突发环境事件应急预案并报我局备案，定期开展环境风险应急防范预案演练，严守操作规程，防止各种突发事故带来的环境污染。</w:t>
            </w:r>
          </w:p>
          <w:p w14:paraId="10B2D83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color w:val="auto"/>
                <w:sz w:val="24"/>
                <w:szCs w:val="24"/>
                <w:lang w:val="en-US"/>
              </w:rPr>
            </w:pPr>
            <w:r>
              <w:rPr>
                <w:rFonts w:hint="default" w:ascii="Times New Roman" w:hAnsi="Times New Roman" w:eastAsia="宋体" w:cs="Times New Roman"/>
                <w:b w:val="0"/>
                <w:color w:val="auto"/>
                <w:sz w:val="24"/>
                <w:szCs w:val="24"/>
                <w:lang w:val="en-US"/>
              </w:rPr>
              <w:t>三、项目建设必须严格执行环保“三同时”和排污许可制度，落实各项环境保护措施。项目建成后，应按规定办理排污许可证，并开展竣工环境保护自主验收工作，经验收合格后，方可正式投入生产。</w:t>
            </w:r>
          </w:p>
          <w:p w14:paraId="08B82ED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color w:val="auto"/>
                <w:sz w:val="24"/>
                <w:szCs w:val="24"/>
                <w:lang w:val="en-US"/>
              </w:rPr>
            </w:pPr>
            <w:r>
              <w:rPr>
                <w:rFonts w:hint="default" w:ascii="Times New Roman" w:hAnsi="Times New Roman" w:eastAsia="宋体" w:cs="Times New Roman"/>
                <w:b w:val="0"/>
                <w:color w:val="auto"/>
                <w:sz w:val="24"/>
                <w:szCs w:val="24"/>
                <w:lang w:val="en-US"/>
              </w:rPr>
              <w:t>四、你公司应按照《建设项目环境影响评价信息公开机制方案》的要求，落实环境信息公开的主体责任，依法依规公开建设项目环评信息，接受公众和社会监督。</w:t>
            </w:r>
          </w:p>
          <w:p w14:paraId="7DB7CF7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color w:val="auto"/>
                <w:sz w:val="24"/>
                <w:szCs w:val="24"/>
                <w:lang w:val="en-US"/>
              </w:rPr>
            </w:pPr>
            <w:r>
              <w:rPr>
                <w:rFonts w:hint="default" w:ascii="Times New Roman" w:hAnsi="Times New Roman" w:eastAsia="宋体" w:cs="Times New Roman"/>
                <w:b w:val="0"/>
                <w:color w:val="auto"/>
                <w:sz w:val="24"/>
                <w:szCs w:val="24"/>
                <w:lang w:val="en-US"/>
              </w:rPr>
              <w:t>五、《报告表》经批准后，项目的性质、规模、地点、工艺、污染防治措施等发生重大变动时，应当重新报批环境影响评价文件。项目自批准之日起超过5年方开工建设的，《报告表》应报我局重新审核。</w:t>
            </w:r>
          </w:p>
          <w:p w14:paraId="0E1E789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default" w:ascii="Times New Roman" w:hAnsi="Times New Roman" w:cs="Times New Roman"/>
                <w:b/>
                <w:color w:val="auto"/>
                <w:sz w:val="24"/>
                <w:szCs w:val="24"/>
              </w:rPr>
            </w:pPr>
          </w:p>
        </w:tc>
      </w:tr>
    </w:tbl>
    <w:p w14:paraId="0EBD4D49">
      <w:pPr>
        <w:rPr>
          <w:rFonts w:hint="default" w:ascii="Times New Roman" w:hAnsi="Times New Roman" w:cs="Times New Roman"/>
          <w:sz w:val="24"/>
        </w:rPr>
        <w:sectPr>
          <w:pgSz w:w="11911" w:h="16838"/>
          <w:pgMar w:top="1440" w:right="1361" w:bottom="1440" w:left="1361" w:header="964" w:footer="918" w:gutter="0"/>
          <w:pgBorders>
            <w:top w:val="none" w:sz="0" w:space="0"/>
            <w:left w:val="none" w:sz="0" w:space="0"/>
            <w:bottom w:val="none" w:sz="0" w:space="0"/>
            <w:right w:val="none" w:sz="0" w:space="0"/>
          </w:pgBorders>
          <w:pgNumType w:fmt="decimal"/>
          <w:cols w:space="720" w:num="1"/>
          <w:rtlGutter w:val="0"/>
          <w:docGrid w:linePitch="0" w:charSpace="0"/>
        </w:sectPr>
      </w:pPr>
    </w:p>
    <w:p w14:paraId="78186A04">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kern w:val="0"/>
          <w:sz w:val="32"/>
          <w:szCs w:val="56"/>
          <w:lang w:val="en-US" w:bidi="ar-SA"/>
        </w:rPr>
      </w:pPr>
      <w:bookmarkStart w:id="27" w:name="表6_环境保护措施执行情况"/>
      <w:bookmarkEnd w:id="27"/>
      <w:bookmarkStart w:id="28" w:name="_Toc8079"/>
      <w:bookmarkStart w:id="29" w:name="_Toc9209"/>
      <w:r>
        <w:rPr>
          <w:rFonts w:hint="default" w:ascii="Times New Roman" w:hAnsi="Times New Roman" w:eastAsia="宋体" w:cs="Times New Roman"/>
          <w:b/>
          <w:bCs/>
          <w:kern w:val="0"/>
          <w:sz w:val="32"/>
          <w:szCs w:val="56"/>
          <w:lang w:val="en-US" w:bidi="ar-SA"/>
        </w:rPr>
        <w:t>表6</w:t>
      </w:r>
      <w:r>
        <w:rPr>
          <w:rFonts w:hint="default" w:ascii="Times New Roman" w:hAnsi="Times New Roman" w:eastAsia="宋体" w:cs="Times New Roman"/>
          <w:b/>
          <w:bCs/>
          <w:kern w:val="0"/>
          <w:sz w:val="32"/>
          <w:szCs w:val="56"/>
          <w:lang w:val="en-US" w:eastAsia="zh-CN" w:bidi="ar-SA"/>
        </w:rPr>
        <w:t xml:space="preserve">  </w:t>
      </w:r>
      <w:r>
        <w:rPr>
          <w:rFonts w:hint="default" w:ascii="Times New Roman" w:hAnsi="Times New Roman" w:eastAsia="宋体" w:cs="Times New Roman"/>
          <w:b/>
          <w:bCs/>
          <w:kern w:val="0"/>
          <w:sz w:val="32"/>
          <w:szCs w:val="56"/>
          <w:lang w:val="en-US" w:bidi="ar-SA"/>
        </w:rPr>
        <w:t>环境保护措施执行情况</w:t>
      </w:r>
      <w:bookmarkEnd w:id="28"/>
      <w:bookmarkEnd w:id="29"/>
    </w:p>
    <w:tbl>
      <w:tblPr>
        <w:tblStyle w:val="17"/>
        <w:tblW w:w="5241"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934"/>
        <w:gridCol w:w="768"/>
        <w:gridCol w:w="3093"/>
        <w:gridCol w:w="3081"/>
        <w:gridCol w:w="1777"/>
      </w:tblGrid>
      <w:tr w14:paraId="52ED9A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882" w:type="pct"/>
            <w:gridSpan w:val="2"/>
            <w:tcBorders>
              <w:tl2br w:val="single" w:color="000000" w:sz="8" w:space="0"/>
            </w:tcBorders>
            <w:noWrap w:val="0"/>
            <w:vAlign w:val="center"/>
          </w:tcPr>
          <w:p w14:paraId="0FF82C1B">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firstLine="723" w:firstLineChars="300"/>
              <w:jc w:val="center"/>
              <w:textAlignment w:val="auto"/>
              <w:rPr>
                <w:rFonts w:hint="default" w:ascii="Times New Roman" w:hAnsi="Times New Roman" w:cs="Times New Roman"/>
                <w:b/>
                <w:bCs w:val="0"/>
                <w:i w:val="0"/>
                <w:iCs w:val="0"/>
                <w:color w:val="auto"/>
                <w:sz w:val="24"/>
                <w:szCs w:val="24"/>
              </w:rPr>
            </w:pPr>
            <w:r>
              <w:rPr>
                <w:rFonts w:hint="default" w:ascii="Times New Roman" w:hAnsi="Times New Roman" w:cs="Times New Roman"/>
                <w:b/>
                <w:bCs w:val="0"/>
                <w:i w:val="0"/>
                <w:iCs w:val="0"/>
                <w:color w:val="auto"/>
                <w:sz w:val="24"/>
                <w:szCs w:val="24"/>
              </w:rPr>
              <w:t>项目</w:t>
            </w:r>
          </w:p>
          <w:p w14:paraId="442C55BE">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firstLine="482" w:firstLineChars="200"/>
              <w:jc w:val="both"/>
              <w:textAlignment w:val="auto"/>
              <w:rPr>
                <w:rFonts w:hint="default" w:ascii="Times New Roman" w:hAnsi="Times New Roman" w:cs="Times New Roman"/>
                <w:b/>
                <w:bCs w:val="0"/>
                <w:i w:val="0"/>
                <w:iCs w:val="0"/>
                <w:color w:val="auto"/>
                <w:sz w:val="24"/>
                <w:szCs w:val="24"/>
              </w:rPr>
            </w:pPr>
            <w:r>
              <w:rPr>
                <w:rFonts w:hint="default" w:ascii="Times New Roman" w:hAnsi="Times New Roman" w:cs="Times New Roman"/>
                <w:b/>
                <w:bCs w:val="0"/>
                <w:i w:val="0"/>
                <w:iCs w:val="0"/>
                <w:color w:val="auto"/>
                <w:sz w:val="24"/>
                <w:szCs w:val="24"/>
              </w:rPr>
              <w:t>阶段</w:t>
            </w:r>
          </w:p>
        </w:tc>
        <w:tc>
          <w:tcPr>
            <w:tcW w:w="1602" w:type="pct"/>
            <w:noWrap w:val="0"/>
            <w:vAlign w:val="center"/>
          </w:tcPr>
          <w:p w14:paraId="4774CA43">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bCs w:val="0"/>
                <w:i w:val="0"/>
                <w:iCs w:val="0"/>
                <w:color w:val="auto"/>
                <w:sz w:val="24"/>
                <w:szCs w:val="24"/>
              </w:rPr>
            </w:pPr>
            <w:r>
              <w:rPr>
                <w:rFonts w:hint="default" w:ascii="Times New Roman" w:hAnsi="Times New Roman" w:cs="Times New Roman"/>
                <w:b/>
                <w:bCs w:val="0"/>
                <w:i w:val="0"/>
                <w:iCs w:val="0"/>
                <w:color w:val="auto"/>
                <w:sz w:val="24"/>
                <w:szCs w:val="24"/>
              </w:rPr>
              <w:t>环境影响报告表及审批文件中要求的环境保护措施</w:t>
            </w:r>
          </w:p>
        </w:tc>
        <w:tc>
          <w:tcPr>
            <w:tcW w:w="1596" w:type="pct"/>
            <w:noWrap w:val="0"/>
            <w:vAlign w:val="center"/>
          </w:tcPr>
          <w:p w14:paraId="36E46E91">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bCs w:val="0"/>
                <w:i w:val="0"/>
                <w:iCs w:val="0"/>
                <w:color w:val="auto"/>
                <w:spacing w:val="-20"/>
                <w:w w:val="95"/>
                <w:sz w:val="24"/>
                <w:szCs w:val="24"/>
              </w:rPr>
            </w:pPr>
            <w:r>
              <w:rPr>
                <w:rFonts w:hint="default" w:ascii="Times New Roman" w:hAnsi="Times New Roman" w:cs="Times New Roman"/>
                <w:b/>
                <w:bCs w:val="0"/>
                <w:i w:val="0"/>
                <w:iCs w:val="0"/>
                <w:color w:val="auto"/>
                <w:sz w:val="24"/>
                <w:szCs w:val="24"/>
              </w:rPr>
              <w:t>环境保护措施的落实情况</w:t>
            </w:r>
          </w:p>
        </w:tc>
        <w:tc>
          <w:tcPr>
            <w:tcW w:w="918" w:type="pct"/>
            <w:noWrap w:val="0"/>
            <w:vAlign w:val="center"/>
          </w:tcPr>
          <w:p w14:paraId="487A6C6B">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bCs w:val="0"/>
                <w:i w:val="0"/>
                <w:iCs w:val="0"/>
                <w:color w:val="auto"/>
                <w:sz w:val="24"/>
                <w:szCs w:val="24"/>
              </w:rPr>
            </w:pPr>
            <w:r>
              <w:rPr>
                <w:rFonts w:hint="default" w:ascii="Times New Roman" w:hAnsi="Times New Roman" w:cs="Times New Roman"/>
                <w:b/>
                <w:bCs w:val="0"/>
                <w:i w:val="0"/>
                <w:iCs w:val="0"/>
                <w:color w:val="auto"/>
                <w:sz w:val="24"/>
                <w:szCs w:val="24"/>
              </w:rPr>
              <w:t>措施的执行效</w:t>
            </w:r>
          </w:p>
          <w:p w14:paraId="0FC232A8">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bCs w:val="0"/>
                <w:i w:val="0"/>
                <w:iCs w:val="0"/>
                <w:color w:val="auto"/>
                <w:spacing w:val="-20"/>
                <w:w w:val="95"/>
                <w:sz w:val="24"/>
                <w:szCs w:val="24"/>
              </w:rPr>
            </w:pPr>
            <w:r>
              <w:rPr>
                <w:rFonts w:hint="default" w:ascii="Times New Roman" w:hAnsi="Times New Roman" w:cs="Times New Roman"/>
                <w:b/>
                <w:bCs w:val="0"/>
                <w:i w:val="0"/>
                <w:iCs w:val="0"/>
                <w:color w:val="auto"/>
                <w:sz w:val="24"/>
                <w:szCs w:val="24"/>
              </w:rPr>
              <w:t>果及未采取措施的原因</w:t>
            </w:r>
          </w:p>
        </w:tc>
      </w:tr>
      <w:tr w14:paraId="1BE25B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4" w:type="pct"/>
            <w:tcBorders>
              <w:tl2br w:val="nil"/>
              <w:tr2bl w:val="nil"/>
            </w:tcBorders>
            <w:noWrap w:val="0"/>
            <w:vAlign w:val="center"/>
          </w:tcPr>
          <w:p w14:paraId="63A2B5D8">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设计期</w:t>
            </w:r>
          </w:p>
        </w:tc>
        <w:tc>
          <w:tcPr>
            <w:tcW w:w="4515" w:type="pct"/>
            <w:gridSpan w:val="4"/>
            <w:tcBorders>
              <w:tl2br w:val="nil"/>
              <w:tr2bl w:val="nil"/>
            </w:tcBorders>
            <w:noWrap w:val="0"/>
            <w:vAlign w:val="center"/>
          </w:tcPr>
          <w:p w14:paraId="2FC4FB24">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未涉及环境保护影响减缓措施</w:t>
            </w:r>
          </w:p>
        </w:tc>
      </w:tr>
      <w:tr w14:paraId="6925C6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4" w:type="pct"/>
            <w:vMerge w:val="restart"/>
            <w:tcBorders>
              <w:tl2br w:val="nil"/>
              <w:tr2bl w:val="nil"/>
            </w:tcBorders>
            <w:noWrap w:val="0"/>
            <w:vAlign w:val="center"/>
          </w:tcPr>
          <w:p w14:paraId="544753CE">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施</w:t>
            </w:r>
          </w:p>
          <w:p w14:paraId="39567590">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工</w:t>
            </w:r>
          </w:p>
          <w:p w14:paraId="58639072">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w w:val="99"/>
                <w:sz w:val="24"/>
                <w:szCs w:val="24"/>
              </w:rPr>
              <w:t>期</w:t>
            </w:r>
          </w:p>
        </w:tc>
        <w:tc>
          <w:tcPr>
            <w:tcW w:w="398" w:type="pct"/>
            <w:tcBorders>
              <w:tl2br w:val="nil"/>
              <w:tr2bl w:val="nil"/>
            </w:tcBorders>
            <w:noWrap w:val="0"/>
            <w:vAlign w:val="center"/>
          </w:tcPr>
          <w:p w14:paraId="0F6CE6CA">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w:t>
            </w:r>
          </w:p>
          <w:p w14:paraId="18D357D4">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w:t>
            </w:r>
          </w:p>
        </w:tc>
        <w:tc>
          <w:tcPr>
            <w:tcW w:w="1602" w:type="pct"/>
            <w:tcBorders>
              <w:tl2br w:val="nil"/>
              <w:tr2bl w:val="nil"/>
            </w:tcBorders>
            <w:noWrap w:val="0"/>
            <w:vAlign w:val="center"/>
          </w:tcPr>
          <w:p w14:paraId="047E23E3">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严格管理，进行水土保持，动植物生态保护</w:t>
            </w:r>
            <w:r>
              <w:rPr>
                <w:rFonts w:hint="default" w:ascii="Times New Roman" w:hAnsi="Times New Roman" w:cs="Times New Roman"/>
                <w:color w:val="auto"/>
                <w:sz w:val="21"/>
                <w:szCs w:val="21"/>
              </w:rPr>
              <w:t>。</w:t>
            </w:r>
          </w:p>
        </w:tc>
        <w:tc>
          <w:tcPr>
            <w:tcW w:w="1596" w:type="pct"/>
            <w:tcBorders>
              <w:tl2br w:val="nil"/>
              <w:tr2bl w:val="nil"/>
            </w:tcBorders>
            <w:noWrap w:val="0"/>
            <w:vAlign w:val="center"/>
          </w:tcPr>
          <w:p w14:paraId="44CA9431">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严格管理，</w:t>
            </w:r>
            <w:r>
              <w:rPr>
                <w:rFonts w:hint="eastAsia" w:ascii="Times New Roman" w:hAnsi="Times New Roman" w:cs="Times New Roman"/>
                <w:color w:val="auto"/>
                <w:sz w:val="21"/>
                <w:szCs w:val="21"/>
                <w:lang w:val="en-US" w:eastAsia="zh-CN"/>
              </w:rPr>
              <w:t>按照水土保持方案</w:t>
            </w:r>
            <w:r>
              <w:rPr>
                <w:rFonts w:hint="default" w:ascii="Times New Roman" w:hAnsi="Times New Roman" w:cs="Times New Roman"/>
                <w:color w:val="auto"/>
                <w:sz w:val="21"/>
                <w:szCs w:val="21"/>
                <w:lang w:eastAsia="zh-CN"/>
              </w:rPr>
              <w:t>进行水土保持，</w:t>
            </w:r>
            <w:r>
              <w:rPr>
                <w:rFonts w:hint="eastAsia" w:ascii="Times New Roman" w:hAnsi="Times New Roman" w:cs="Times New Roman"/>
                <w:color w:val="auto"/>
                <w:sz w:val="21"/>
                <w:szCs w:val="21"/>
                <w:lang w:val="en-US" w:eastAsia="zh-CN"/>
              </w:rPr>
              <w:t>并对</w:t>
            </w:r>
            <w:r>
              <w:rPr>
                <w:rFonts w:hint="default" w:ascii="Times New Roman" w:hAnsi="Times New Roman" w:cs="Times New Roman"/>
                <w:color w:val="auto"/>
                <w:sz w:val="21"/>
                <w:szCs w:val="21"/>
                <w:lang w:eastAsia="zh-CN"/>
              </w:rPr>
              <w:t>动植物</w:t>
            </w:r>
            <w:r>
              <w:rPr>
                <w:rFonts w:hint="eastAsia" w:ascii="Times New Roman" w:hAnsi="Times New Roman" w:cs="Times New Roman"/>
                <w:color w:val="auto"/>
                <w:sz w:val="21"/>
                <w:szCs w:val="21"/>
                <w:lang w:val="en-US" w:eastAsia="zh-CN"/>
              </w:rPr>
              <w:t>进行</w:t>
            </w:r>
            <w:r>
              <w:rPr>
                <w:rFonts w:hint="default" w:ascii="Times New Roman" w:hAnsi="Times New Roman" w:cs="Times New Roman"/>
                <w:color w:val="auto"/>
                <w:sz w:val="21"/>
                <w:szCs w:val="21"/>
                <w:lang w:eastAsia="zh-CN"/>
              </w:rPr>
              <w:t>生态保护</w:t>
            </w:r>
            <w:r>
              <w:rPr>
                <w:rFonts w:hint="default" w:ascii="Times New Roman" w:hAnsi="Times New Roman" w:cs="Times New Roman"/>
                <w:color w:val="auto"/>
                <w:sz w:val="21"/>
                <w:szCs w:val="21"/>
              </w:rPr>
              <w:t>。</w:t>
            </w:r>
          </w:p>
        </w:tc>
        <w:tc>
          <w:tcPr>
            <w:tcW w:w="918" w:type="pct"/>
            <w:tcBorders>
              <w:tl2br w:val="nil"/>
              <w:tr2bl w:val="nil"/>
            </w:tcBorders>
            <w:noWrap w:val="0"/>
            <w:vAlign w:val="center"/>
          </w:tcPr>
          <w:p w14:paraId="72B9A472">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对生态环境的影响</w:t>
            </w:r>
            <w:r>
              <w:rPr>
                <w:rFonts w:hint="default" w:ascii="Times New Roman" w:hAnsi="Times New Roman" w:cs="Times New Roman"/>
                <w:color w:val="auto"/>
                <w:sz w:val="24"/>
                <w:szCs w:val="24"/>
              </w:rPr>
              <w:t>较小。</w:t>
            </w:r>
          </w:p>
        </w:tc>
      </w:tr>
      <w:tr w14:paraId="554126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4" w:type="pct"/>
            <w:vMerge w:val="continue"/>
            <w:tcBorders>
              <w:tl2br w:val="nil"/>
              <w:tr2bl w:val="nil"/>
            </w:tcBorders>
            <w:noWrap w:val="0"/>
            <w:vAlign w:val="center"/>
          </w:tcPr>
          <w:p w14:paraId="553D6681">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color w:val="auto"/>
                <w:w w:val="99"/>
                <w:sz w:val="24"/>
                <w:szCs w:val="24"/>
              </w:rPr>
            </w:pPr>
          </w:p>
        </w:tc>
        <w:tc>
          <w:tcPr>
            <w:tcW w:w="398" w:type="pct"/>
            <w:tcBorders>
              <w:tl2br w:val="nil"/>
              <w:tr2bl w:val="nil"/>
            </w:tcBorders>
            <w:noWrap w:val="0"/>
            <w:vAlign w:val="center"/>
          </w:tcPr>
          <w:p w14:paraId="3B7AAFF6">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w:t>
            </w:r>
          </w:p>
          <w:p w14:paraId="08F0DD6D">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w:t>
            </w:r>
          </w:p>
        </w:tc>
        <w:tc>
          <w:tcPr>
            <w:tcW w:w="1602" w:type="pct"/>
            <w:tcBorders>
              <w:tl2br w:val="nil"/>
              <w:tr2bl w:val="nil"/>
            </w:tcBorders>
            <w:noWrap w:val="0"/>
            <w:vAlign w:val="center"/>
          </w:tcPr>
          <w:p w14:paraId="4F10E96B">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废气：</w:t>
            </w:r>
            <w:r>
              <w:rPr>
                <w:rFonts w:hint="default" w:ascii="Times New Roman" w:hAnsi="Times New Roman" w:eastAsia="宋体" w:cs="Times New Roman"/>
                <w:color w:val="auto"/>
                <w:sz w:val="21"/>
                <w:szCs w:val="21"/>
                <w:lang w:val="en-US" w:eastAsia="zh-CN"/>
              </w:rPr>
              <w:t>施工现场及运输道路洒水抑尘、施工现场围挡，降低污染源源强排放。</w:t>
            </w:r>
          </w:p>
          <w:p w14:paraId="5C81D03C">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废水：</w:t>
            </w:r>
            <w:r>
              <w:rPr>
                <w:rFonts w:hint="default" w:ascii="Times New Roman" w:hAnsi="Times New Roman" w:cs="Times New Roman"/>
                <w:sz w:val="21"/>
                <w:szCs w:val="21"/>
              </w:rPr>
              <w:t>施工废水经沉淀后分离后用于场地洒水，不外排。施工期生活污水经</w:t>
            </w:r>
            <w:r>
              <w:rPr>
                <w:rFonts w:hint="eastAsia" w:ascii="Times New Roman" w:hAnsi="Times New Roman" w:cs="Times New Roman"/>
                <w:sz w:val="21"/>
                <w:szCs w:val="21"/>
                <w:lang w:val="en-US" w:eastAsia="zh-CN"/>
              </w:rPr>
              <w:t>一体化污水处理设备</w:t>
            </w:r>
            <w:r>
              <w:rPr>
                <w:rFonts w:hint="default" w:ascii="Times New Roman" w:hAnsi="Times New Roman" w:cs="Times New Roman"/>
                <w:sz w:val="21"/>
                <w:szCs w:val="21"/>
              </w:rPr>
              <w:t>处理后用于</w:t>
            </w:r>
            <w:r>
              <w:rPr>
                <w:rFonts w:hint="eastAsia" w:ascii="Times New Roman" w:hAnsi="Times New Roman" w:cs="Times New Roman"/>
                <w:sz w:val="21"/>
                <w:szCs w:val="21"/>
                <w:lang w:val="en-US" w:eastAsia="zh-CN"/>
              </w:rPr>
              <w:t>生产</w:t>
            </w:r>
            <w:r>
              <w:rPr>
                <w:rFonts w:hint="default" w:ascii="Times New Roman" w:hAnsi="Times New Roman" w:cs="Times New Roman"/>
                <w:sz w:val="21"/>
                <w:szCs w:val="21"/>
              </w:rPr>
              <w:t>，不外排。</w:t>
            </w:r>
          </w:p>
          <w:p w14:paraId="439704F4">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噪声：</w:t>
            </w:r>
            <w:r>
              <w:rPr>
                <w:rFonts w:hint="default" w:ascii="Times New Roman" w:hAnsi="Times New Roman" w:cs="Times New Roman"/>
                <w:sz w:val="21"/>
                <w:szCs w:val="21"/>
              </w:rPr>
              <w:t>选用低噪声设备和施工工艺，对施工设备及时维护保养，合理布局，同时禁止夜间施工。限制车速以及禁止鸣笛标识牌，加强运输车辆的检修。</w:t>
            </w:r>
          </w:p>
          <w:p w14:paraId="22089AC1">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lang w:val="en-US" w:eastAsia="zh-CN"/>
              </w:rPr>
              <w:t>固废：</w:t>
            </w:r>
            <w:r>
              <w:rPr>
                <w:rFonts w:hint="default" w:ascii="Times New Roman" w:hAnsi="Times New Roman" w:cs="Times New Roman"/>
                <w:sz w:val="21"/>
                <w:szCs w:val="21"/>
              </w:rPr>
              <w:t>施工期产生生活垃圾集中收集后由环卫部门负责清运。建筑废料不得随意倾倒和堆放，必须统一收集后作为场地、便道、路堤等的填充材料或定期运往指定地点进行填埋。</w:t>
            </w:r>
          </w:p>
        </w:tc>
        <w:tc>
          <w:tcPr>
            <w:tcW w:w="1596" w:type="pct"/>
            <w:tcBorders>
              <w:tl2br w:val="nil"/>
              <w:tr2bl w:val="nil"/>
            </w:tcBorders>
            <w:noWrap w:val="0"/>
            <w:vAlign w:val="center"/>
          </w:tcPr>
          <w:p w14:paraId="6A9B11FC">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废气：</w:t>
            </w:r>
            <w:r>
              <w:rPr>
                <w:rFonts w:hint="default" w:ascii="Times New Roman" w:hAnsi="Times New Roman" w:eastAsia="宋体" w:cs="Times New Roman"/>
                <w:color w:val="auto"/>
                <w:sz w:val="21"/>
                <w:szCs w:val="21"/>
                <w:lang w:val="en-US" w:eastAsia="zh-CN"/>
              </w:rPr>
              <w:t>施工现场及运输道路洒水抑尘、施工现场围挡，降低污染源源强排放。</w:t>
            </w:r>
          </w:p>
          <w:p w14:paraId="286AA960">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废水：</w:t>
            </w:r>
            <w:r>
              <w:rPr>
                <w:rFonts w:hint="default" w:ascii="Times New Roman" w:hAnsi="Times New Roman" w:cs="Times New Roman"/>
                <w:sz w:val="21"/>
                <w:szCs w:val="21"/>
              </w:rPr>
              <w:t>施工废水经沉淀后分离后用于场地洒水，不外排。施工期生活污水经</w:t>
            </w:r>
            <w:r>
              <w:rPr>
                <w:rFonts w:hint="eastAsia" w:ascii="Times New Roman" w:hAnsi="Times New Roman" w:cs="Times New Roman"/>
                <w:sz w:val="21"/>
                <w:szCs w:val="21"/>
                <w:lang w:val="en-US" w:eastAsia="zh-CN"/>
              </w:rPr>
              <w:t>一体化污水处理设备</w:t>
            </w:r>
            <w:r>
              <w:rPr>
                <w:rFonts w:hint="default" w:ascii="Times New Roman" w:hAnsi="Times New Roman" w:cs="Times New Roman"/>
                <w:sz w:val="21"/>
                <w:szCs w:val="21"/>
              </w:rPr>
              <w:t>处理后用于</w:t>
            </w:r>
            <w:r>
              <w:rPr>
                <w:rFonts w:hint="eastAsia" w:ascii="Times New Roman" w:hAnsi="Times New Roman" w:cs="Times New Roman"/>
                <w:sz w:val="21"/>
                <w:szCs w:val="21"/>
                <w:lang w:val="en-US" w:eastAsia="zh-CN"/>
              </w:rPr>
              <w:t>生产</w:t>
            </w:r>
            <w:r>
              <w:rPr>
                <w:rFonts w:hint="default" w:ascii="Times New Roman" w:hAnsi="Times New Roman" w:cs="Times New Roman"/>
                <w:sz w:val="21"/>
                <w:szCs w:val="21"/>
              </w:rPr>
              <w:t>，不外排。</w:t>
            </w:r>
          </w:p>
          <w:p w14:paraId="2E97969E">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噪声：</w:t>
            </w:r>
            <w:r>
              <w:rPr>
                <w:rFonts w:hint="default" w:ascii="Times New Roman" w:hAnsi="Times New Roman" w:cs="Times New Roman"/>
                <w:sz w:val="21"/>
                <w:szCs w:val="21"/>
              </w:rPr>
              <w:t>选用低噪声设备和施工工艺，对施工设备及时维护保养，合理布局，同时禁止夜间施工。限制车速以及禁止鸣笛标识牌，加强运输车辆的检修。</w:t>
            </w:r>
          </w:p>
          <w:p w14:paraId="0930C4AB">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bCs/>
                <w:color w:val="auto"/>
                <w:sz w:val="21"/>
                <w:szCs w:val="21"/>
                <w:lang w:val="en-US" w:eastAsia="zh-CN"/>
              </w:rPr>
              <w:t>固废：</w:t>
            </w:r>
            <w:r>
              <w:rPr>
                <w:rFonts w:hint="default" w:ascii="Times New Roman" w:hAnsi="Times New Roman" w:cs="Times New Roman"/>
                <w:sz w:val="21"/>
                <w:szCs w:val="21"/>
              </w:rPr>
              <w:t>施工期产生生活垃圾集中收集后由环卫部门负责清运。建筑废料不得随意倾倒和堆放，必须统一收集后作为场地、便道、路堤等的填充材料或定期运往指定地点进行填埋。</w:t>
            </w:r>
          </w:p>
        </w:tc>
        <w:tc>
          <w:tcPr>
            <w:tcW w:w="918" w:type="pct"/>
            <w:tcBorders>
              <w:tl2br w:val="nil"/>
              <w:tr2bl w:val="nil"/>
            </w:tcBorders>
            <w:noWrap w:val="0"/>
            <w:vAlign w:val="center"/>
          </w:tcPr>
          <w:p w14:paraId="02D35909">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sz w:val="21"/>
                <w:szCs w:val="21"/>
              </w:rPr>
              <w:t>可以将施工期</w:t>
            </w:r>
            <w:r>
              <w:rPr>
                <w:rFonts w:hint="default" w:ascii="Times New Roman" w:hAnsi="Times New Roman" w:cs="Times New Roman"/>
                <w:sz w:val="21"/>
                <w:szCs w:val="21"/>
                <w:lang w:val="en-US" w:eastAsia="zh-CN"/>
              </w:rPr>
              <w:t>污染物对环境的</w:t>
            </w:r>
            <w:r>
              <w:rPr>
                <w:rFonts w:hint="default" w:ascii="Times New Roman" w:hAnsi="Times New Roman" w:cs="Times New Roman"/>
                <w:sz w:val="21"/>
                <w:szCs w:val="21"/>
              </w:rPr>
              <w:t>影响降到最小。</w:t>
            </w:r>
          </w:p>
        </w:tc>
      </w:tr>
      <w:tr w14:paraId="36EBA6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4" w:type="pct"/>
            <w:vMerge w:val="continue"/>
            <w:tcBorders>
              <w:tl2br w:val="nil"/>
              <w:tr2bl w:val="nil"/>
            </w:tcBorders>
            <w:noWrap w:val="0"/>
            <w:vAlign w:val="center"/>
          </w:tcPr>
          <w:p w14:paraId="4663DEB6">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color w:val="auto"/>
                <w:w w:val="99"/>
                <w:sz w:val="24"/>
                <w:szCs w:val="24"/>
              </w:rPr>
            </w:pPr>
          </w:p>
        </w:tc>
        <w:tc>
          <w:tcPr>
            <w:tcW w:w="398" w:type="pct"/>
            <w:tcBorders>
              <w:tl2br w:val="nil"/>
              <w:tr2bl w:val="nil"/>
            </w:tcBorders>
            <w:noWrap w:val="0"/>
            <w:vAlign w:val="center"/>
          </w:tcPr>
          <w:p w14:paraId="1FF2C06D">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社会</w:t>
            </w:r>
          </w:p>
          <w:p w14:paraId="1CB3F07D">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影响</w:t>
            </w:r>
          </w:p>
        </w:tc>
        <w:tc>
          <w:tcPr>
            <w:tcW w:w="3198" w:type="pct"/>
            <w:gridSpan w:val="2"/>
            <w:tcBorders>
              <w:tl2br w:val="nil"/>
              <w:tr2bl w:val="nil"/>
            </w:tcBorders>
            <w:noWrap w:val="0"/>
            <w:vAlign w:val="center"/>
          </w:tcPr>
          <w:p w14:paraId="20F7F884">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未涉及</w:t>
            </w:r>
            <w:r>
              <w:rPr>
                <w:rFonts w:hint="eastAsia" w:ascii="Times New Roman" w:hAnsi="Times New Roman" w:cs="Times New Roman"/>
                <w:sz w:val="21"/>
                <w:szCs w:val="21"/>
                <w:lang w:val="en-US" w:eastAsia="zh-CN"/>
              </w:rPr>
              <w:t>社会</w:t>
            </w:r>
            <w:r>
              <w:rPr>
                <w:rFonts w:hint="default" w:ascii="Times New Roman" w:hAnsi="Times New Roman" w:cs="Times New Roman"/>
                <w:sz w:val="21"/>
                <w:szCs w:val="21"/>
              </w:rPr>
              <w:t>影响减缓措施</w:t>
            </w:r>
          </w:p>
        </w:tc>
        <w:tc>
          <w:tcPr>
            <w:tcW w:w="918" w:type="pct"/>
            <w:tcBorders>
              <w:tl2br w:val="nil"/>
              <w:tr2bl w:val="nil"/>
            </w:tcBorders>
            <w:noWrap w:val="0"/>
            <w:vAlign w:val="center"/>
          </w:tcPr>
          <w:p w14:paraId="1C2E58D4">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cs="Times New Roman"/>
                <w:sz w:val="21"/>
                <w:szCs w:val="21"/>
                <w:lang w:eastAsia="zh-CN"/>
              </w:rPr>
            </w:pPr>
            <w:r>
              <w:rPr>
                <w:rFonts w:hint="default" w:ascii="Times New Roman" w:hAnsi="Times New Roman" w:cs="Times New Roman"/>
                <w:sz w:val="21"/>
                <w:szCs w:val="21"/>
              </w:rPr>
              <w:t>未对当地居民生活造成影响</w:t>
            </w:r>
            <w:r>
              <w:rPr>
                <w:rFonts w:hint="eastAsia" w:ascii="Times New Roman" w:hAnsi="Times New Roman" w:cs="Times New Roman"/>
                <w:sz w:val="21"/>
                <w:szCs w:val="21"/>
                <w:lang w:eastAsia="zh-CN"/>
              </w:rPr>
              <w:t>。</w:t>
            </w:r>
          </w:p>
        </w:tc>
      </w:tr>
      <w:tr w14:paraId="6A36B1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4" w:type="pct"/>
            <w:vMerge w:val="restart"/>
            <w:tcBorders>
              <w:tl2br w:val="nil"/>
              <w:tr2bl w:val="nil"/>
            </w:tcBorders>
            <w:noWrap w:val="0"/>
            <w:vAlign w:val="center"/>
          </w:tcPr>
          <w:p w14:paraId="3219BA07">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运</w:t>
            </w:r>
          </w:p>
          <w:p w14:paraId="34952853">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营</w:t>
            </w:r>
          </w:p>
          <w:p w14:paraId="0C81C6DA">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期</w:t>
            </w:r>
          </w:p>
        </w:tc>
        <w:tc>
          <w:tcPr>
            <w:tcW w:w="398" w:type="pct"/>
            <w:tcBorders>
              <w:tl2br w:val="nil"/>
              <w:tr2bl w:val="nil"/>
            </w:tcBorders>
            <w:noWrap w:val="0"/>
            <w:vAlign w:val="center"/>
          </w:tcPr>
          <w:p w14:paraId="4D3620CF">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生态</w:t>
            </w:r>
          </w:p>
          <w:p w14:paraId="3AB22AEF">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影响</w:t>
            </w:r>
          </w:p>
        </w:tc>
        <w:tc>
          <w:tcPr>
            <w:tcW w:w="1602" w:type="pct"/>
            <w:tcBorders>
              <w:tl2br w:val="nil"/>
              <w:tr2bl w:val="nil"/>
            </w:tcBorders>
            <w:noWrap w:val="0"/>
            <w:vAlign w:val="center"/>
          </w:tcPr>
          <w:p w14:paraId="56A9C45C">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rPr>
              <w:t>边开采边恢复，使用</w:t>
            </w:r>
            <w:r>
              <w:rPr>
                <w:rFonts w:hint="eastAsia" w:ascii="Times New Roman" w:hAnsi="Times New Roman" w:cs="Times New Roman"/>
                <w:sz w:val="21"/>
                <w:szCs w:val="21"/>
                <w:lang w:val="en-US" w:eastAsia="zh-CN"/>
              </w:rPr>
              <w:t>剥离表土</w:t>
            </w:r>
            <w:r>
              <w:rPr>
                <w:rFonts w:hint="default" w:ascii="Times New Roman" w:hAnsi="Times New Roman" w:cs="Times New Roman"/>
                <w:sz w:val="21"/>
                <w:szCs w:val="21"/>
                <w:lang w:val="en-US"/>
              </w:rPr>
              <w:t>对矿区进行</w:t>
            </w:r>
            <w:r>
              <w:rPr>
                <w:rFonts w:hint="eastAsia" w:ascii="Times New Roman" w:hAnsi="Times New Roman" w:cs="Times New Roman"/>
                <w:sz w:val="21"/>
                <w:szCs w:val="21"/>
                <w:lang w:val="en-US" w:eastAsia="zh-CN"/>
              </w:rPr>
              <w:t>复垦</w:t>
            </w:r>
            <w:r>
              <w:rPr>
                <w:rFonts w:hint="default" w:ascii="Times New Roman" w:hAnsi="Times New Roman" w:cs="Times New Roman"/>
                <w:sz w:val="21"/>
                <w:szCs w:val="21"/>
                <w:lang w:val="en-US"/>
              </w:rPr>
              <w:t>，并绿化，使其恢复林地特征</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rPr>
              <w:t>根据土地规划要求，进行合理复绿</w:t>
            </w:r>
            <w:r>
              <w:rPr>
                <w:rFonts w:hint="eastAsia" w:ascii="Times New Roman" w:hAnsi="Times New Roman" w:cs="Times New Roman"/>
                <w:sz w:val="21"/>
                <w:szCs w:val="21"/>
                <w:lang w:val="en-US" w:eastAsia="zh-CN"/>
              </w:rPr>
              <w:t>。根据</w:t>
            </w:r>
            <w:r>
              <w:rPr>
                <w:rFonts w:hint="eastAsia" w:ascii="Times New Roman" w:hAnsi="Times New Roman" w:cs="Times New Roman"/>
                <w:sz w:val="21"/>
                <w:szCs w:val="21"/>
                <w:lang w:val="en-US"/>
              </w:rPr>
              <w:t>采场地形条件设置</w:t>
            </w:r>
            <w:r>
              <w:rPr>
                <w:rFonts w:hint="eastAsia" w:ascii="Times New Roman" w:hAnsi="Times New Roman" w:cs="Times New Roman"/>
                <w:sz w:val="21"/>
                <w:szCs w:val="21"/>
                <w:lang w:val="en-US" w:eastAsia="zh-CN"/>
              </w:rPr>
              <w:t>截</w:t>
            </w:r>
            <w:r>
              <w:rPr>
                <w:rFonts w:hint="eastAsia" w:ascii="Times New Roman" w:hAnsi="Times New Roman" w:cs="Times New Roman"/>
                <w:sz w:val="21"/>
                <w:szCs w:val="21"/>
                <w:lang w:val="en-US"/>
              </w:rPr>
              <w:t>水沟</w:t>
            </w:r>
            <w:r>
              <w:rPr>
                <w:rFonts w:hint="eastAsia" w:ascii="Times New Roman" w:hAnsi="Times New Roman" w:cs="Times New Roman"/>
                <w:sz w:val="21"/>
                <w:szCs w:val="21"/>
                <w:lang w:val="en-US" w:eastAsia="zh-CN"/>
              </w:rPr>
              <w:t>，对已完成的台阶及坡面，及时覆土植树种草。</w:t>
            </w:r>
          </w:p>
          <w:p w14:paraId="31CABA88">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rPr>
              <w:t>矿区开采过程须落实生态环境保护措施，严格执行矿山开采有关规程规范，并结合水土保持方案、安全评估等要求认真落实《报告表》和专家提出的各项污染防治和生态保护措施，加强环保设施的运行管理，确保各项污染物稳定达标排放，减轻项目对周围生态环境的影响。矿山建设须合理规划施工场地及道路范围，控制地表剥离面积，减少对土地占用和地表扰动，统筹矿区资源开发的规模和时序。建设单位须结合项目区自然环境特点制订和落实矿山开采后的生态恢复方案，做好开采结束后的生态恢复工作，落实矿区道路、采区、排土场等土地复垦和水土保持措施，最大限度保护矿区动植物、土地等自然资源，使得矿区生态环境质量逐渐恢复到开发前的水平</w:t>
            </w:r>
            <w:r>
              <w:rPr>
                <w:rFonts w:hint="eastAsia" w:ascii="Times New Roman" w:hAnsi="Times New Roman" w:cs="Times New Roman"/>
                <w:sz w:val="21"/>
                <w:szCs w:val="21"/>
                <w:lang w:val="en-US" w:eastAsia="zh-CN"/>
              </w:rPr>
              <w:t>。</w:t>
            </w:r>
          </w:p>
        </w:tc>
        <w:tc>
          <w:tcPr>
            <w:tcW w:w="1596" w:type="pct"/>
            <w:tcBorders>
              <w:tl2br w:val="nil"/>
              <w:tr2bl w:val="nil"/>
            </w:tcBorders>
            <w:noWrap w:val="0"/>
            <w:vAlign w:val="center"/>
          </w:tcPr>
          <w:p w14:paraId="28679ED0">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zh-CN" w:eastAsia="zh-CN"/>
              </w:rPr>
            </w:pPr>
            <w:r>
              <w:rPr>
                <w:rFonts w:hint="eastAsia" w:ascii="Times New Roman" w:hAnsi="Times New Roman" w:cs="Times New Roman"/>
                <w:sz w:val="21"/>
                <w:szCs w:val="21"/>
                <w:lang w:val="en-US" w:eastAsia="zh-CN"/>
              </w:rPr>
              <w:t>采取</w:t>
            </w:r>
            <w:r>
              <w:rPr>
                <w:rFonts w:hint="default" w:ascii="Times New Roman" w:hAnsi="Times New Roman" w:cs="Times New Roman"/>
                <w:sz w:val="21"/>
                <w:szCs w:val="21"/>
                <w:lang w:val="en-US"/>
              </w:rPr>
              <w:t>边开采边恢复，使用</w:t>
            </w:r>
            <w:r>
              <w:rPr>
                <w:rFonts w:hint="eastAsia" w:ascii="Times New Roman" w:hAnsi="Times New Roman" w:cs="Times New Roman"/>
                <w:sz w:val="21"/>
                <w:szCs w:val="21"/>
                <w:lang w:val="en-US" w:eastAsia="zh-CN"/>
              </w:rPr>
              <w:t>剥离表土</w:t>
            </w:r>
            <w:r>
              <w:rPr>
                <w:rFonts w:hint="default" w:ascii="Times New Roman" w:hAnsi="Times New Roman" w:cs="Times New Roman"/>
                <w:sz w:val="21"/>
                <w:szCs w:val="21"/>
                <w:lang w:val="en-US"/>
              </w:rPr>
              <w:t>对矿区进行</w:t>
            </w:r>
            <w:r>
              <w:rPr>
                <w:rFonts w:hint="eastAsia" w:ascii="Times New Roman" w:hAnsi="Times New Roman" w:cs="Times New Roman"/>
                <w:sz w:val="21"/>
                <w:szCs w:val="21"/>
                <w:lang w:val="en-US" w:eastAsia="zh-CN"/>
              </w:rPr>
              <w:t>复垦</w:t>
            </w:r>
            <w:r>
              <w:rPr>
                <w:rFonts w:hint="default" w:ascii="Times New Roman" w:hAnsi="Times New Roman" w:cs="Times New Roman"/>
                <w:sz w:val="21"/>
                <w:szCs w:val="21"/>
                <w:lang w:val="en-US"/>
              </w:rPr>
              <w:t>，并绿化，使其恢复林地特征</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rPr>
              <w:t>根据土地规划要求，进行合理复绿</w:t>
            </w:r>
            <w:r>
              <w:rPr>
                <w:rFonts w:hint="eastAsia" w:ascii="Times New Roman" w:hAnsi="Times New Roman" w:cs="Times New Roman"/>
                <w:sz w:val="21"/>
                <w:szCs w:val="21"/>
                <w:lang w:val="en-US" w:eastAsia="zh-CN"/>
              </w:rPr>
              <w:t>。根据</w:t>
            </w:r>
            <w:r>
              <w:rPr>
                <w:rFonts w:hint="eastAsia" w:ascii="Times New Roman" w:hAnsi="Times New Roman" w:cs="Times New Roman"/>
                <w:sz w:val="21"/>
                <w:szCs w:val="21"/>
                <w:lang w:val="en-US"/>
              </w:rPr>
              <w:t>采场地形条件设置</w:t>
            </w:r>
            <w:r>
              <w:rPr>
                <w:rFonts w:hint="eastAsia" w:ascii="Times New Roman" w:hAnsi="Times New Roman" w:cs="Times New Roman"/>
                <w:sz w:val="21"/>
                <w:szCs w:val="21"/>
                <w:lang w:val="en-US" w:eastAsia="zh-CN"/>
              </w:rPr>
              <w:t>截</w:t>
            </w:r>
            <w:r>
              <w:rPr>
                <w:rFonts w:hint="eastAsia" w:ascii="Times New Roman" w:hAnsi="Times New Roman" w:cs="Times New Roman"/>
                <w:sz w:val="21"/>
                <w:szCs w:val="21"/>
                <w:lang w:val="en-US"/>
              </w:rPr>
              <w:t>水沟</w:t>
            </w:r>
            <w:r>
              <w:rPr>
                <w:rFonts w:hint="eastAsia" w:ascii="Times New Roman" w:hAnsi="Times New Roman" w:cs="Times New Roman"/>
                <w:sz w:val="21"/>
                <w:szCs w:val="21"/>
                <w:lang w:val="en-US" w:eastAsia="zh-CN"/>
              </w:rPr>
              <w:t>，对已完成的台阶及坡面，及时覆土植树种草。</w:t>
            </w:r>
          </w:p>
          <w:p w14:paraId="2FBE8725">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lang w:val="zh-CN" w:eastAsia="zh-CN"/>
              </w:rPr>
            </w:pPr>
            <w:r>
              <w:rPr>
                <w:rFonts w:hint="default" w:ascii="Times New Roman" w:hAnsi="Times New Roman" w:cs="Times New Roman"/>
                <w:sz w:val="21"/>
                <w:szCs w:val="21"/>
                <w:lang w:val="en-US"/>
              </w:rPr>
              <w:t>矿区开采过程</w:t>
            </w:r>
            <w:r>
              <w:rPr>
                <w:rFonts w:hint="eastAsia" w:ascii="Times New Roman" w:hAnsi="Times New Roman" w:cs="Times New Roman"/>
                <w:sz w:val="21"/>
                <w:szCs w:val="21"/>
                <w:lang w:val="en-US" w:eastAsia="zh-CN"/>
              </w:rPr>
              <w:t>逐步</w:t>
            </w:r>
            <w:r>
              <w:rPr>
                <w:rFonts w:hint="default" w:ascii="Times New Roman" w:hAnsi="Times New Roman" w:cs="Times New Roman"/>
                <w:sz w:val="21"/>
                <w:szCs w:val="21"/>
                <w:lang w:val="en-US"/>
              </w:rPr>
              <w:t>落实</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lang w:val="en-US"/>
              </w:rPr>
              <w:t>生态环境保护措施，严格执行</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lang w:val="en-US"/>
              </w:rPr>
              <w:t>矿山开采有关规程规范，并结合水土保持方案、安全评估等要求</w:t>
            </w:r>
            <w:r>
              <w:rPr>
                <w:rFonts w:hint="eastAsia" w:ascii="Times New Roman" w:hAnsi="Times New Roman" w:cs="Times New Roman"/>
                <w:sz w:val="21"/>
                <w:szCs w:val="21"/>
                <w:lang w:val="en-US" w:eastAsia="zh-CN"/>
              </w:rPr>
              <w:t>逐步</w:t>
            </w:r>
            <w:r>
              <w:rPr>
                <w:rFonts w:hint="default" w:ascii="Times New Roman" w:hAnsi="Times New Roman" w:cs="Times New Roman"/>
                <w:sz w:val="21"/>
                <w:szCs w:val="21"/>
                <w:lang w:val="en-US"/>
              </w:rPr>
              <w:t>落实</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lang w:val="en-US"/>
              </w:rPr>
              <w:t>《报告表》和专家提出的各项污染防治和生态保护措施，加强环保设施的运行管理，确保各项污染物稳定达标排放，减轻项目对周围生态环境的影响。矿山建设合理规划</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lang w:val="en-US"/>
              </w:rPr>
              <w:t>施工场地及道路范围，控制地表剥离面积，减少对土地占用和地表扰动，统筹矿区资源开发的规模和时序。结合项目区自然环境特点制订</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lang w:val="en-US"/>
              </w:rPr>
              <w:t>和</w:t>
            </w:r>
            <w:r>
              <w:rPr>
                <w:rFonts w:hint="eastAsia" w:ascii="Times New Roman" w:hAnsi="Times New Roman" w:cs="Times New Roman"/>
                <w:sz w:val="21"/>
                <w:szCs w:val="21"/>
                <w:lang w:val="en-US" w:eastAsia="zh-CN"/>
              </w:rPr>
              <w:t>逐步</w:t>
            </w:r>
            <w:r>
              <w:rPr>
                <w:rFonts w:hint="default" w:ascii="Times New Roman" w:hAnsi="Times New Roman" w:cs="Times New Roman"/>
                <w:sz w:val="21"/>
                <w:szCs w:val="21"/>
                <w:lang w:val="en-US"/>
              </w:rPr>
              <w:t>落实矿山开采后的生态恢复方案，做好开采结束后的生态恢复工作，</w:t>
            </w:r>
            <w:r>
              <w:rPr>
                <w:rFonts w:hint="eastAsia" w:ascii="Times New Roman" w:hAnsi="Times New Roman" w:cs="Times New Roman"/>
                <w:sz w:val="21"/>
                <w:szCs w:val="21"/>
                <w:lang w:val="en-US" w:eastAsia="zh-CN"/>
              </w:rPr>
              <w:t>逐步</w:t>
            </w:r>
            <w:r>
              <w:rPr>
                <w:rFonts w:hint="default" w:ascii="Times New Roman" w:hAnsi="Times New Roman" w:cs="Times New Roman"/>
                <w:sz w:val="21"/>
                <w:szCs w:val="21"/>
                <w:lang w:val="en-US"/>
              </w:rPr>
              <w:t>落实</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lang w:val="en-US"/>
              </w:rPr>
              <w:t>矿区道路、采区、排土场等土地复垦和水土保持措施，最大限度保护矿区动植物、土地等自然资源，使得矿区生态环境质量逐渐恢复到开发前的水平</w:t>
            </w:r>
            <w:r>
              <w:rPr>
                <w:rFonts w:hint="eastAsia" w:ascii="Times New Roman" w:hAnsi="Times New Roman" w:cs="Times New Roman"/>
                <w:sz w:val="21"/>
                <w:szCs w:val="21"/>
                <w:lang w:val="en-US" w:eastAsia="zh-CN"/>
              </w:rPr>
              <w:t>。</w:t>
            </w:r>
          </w:p>
        </w:tc>
        <w:tc>
          <w:tcPr>
            <w:tcW w:w="918" w:type="pct"/>
            <w:tcBorders>
              <w:tl2br w:val="nil"/>
              <w:tr2bl w:val="nil"/>
            </w:tcBorders>
            <w:noWrap w:val="0"/>
            <w:vAlign w:val="center"/>
          </w:tcPr>
          <w:p w14:paraId="0EF91AFD">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未对生态环境造成显著影响。</w:t>
            </w:r>
          </w:p>
        </w:tc>
      </w:tr>
      <w:tr w14:paraId="500DFD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484" w:type="pct"/>
            <w:vMerge w:val="continue"/>
            <w:tcBorders>
              <w:tl2br w:val="nil"/>
              <w:tr2bl w:val="nil"/>
            </w:tcBorders>
            <w:noWrap w:val="0"/>
            <w:vAlign w:val="center"/>
          </w:tcPr>
          <w:p w14:paraId="2447C14E">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color w:val="auto"/>
                <w:sz w:val="24"/>
                <w:szCs w:val="24"/>
              </w:rPr>
            </w:pPr>
          </w:p>
        </w:tc>
        <w:tc>
          <w:tcPr>
            <w:tcW w:w="398" w:type="pct"/>
            <w:tcBorders>
              <w:tl2br w:val="nil"/>
              <w:tr2bl w:val="nil"/>
            </w:tcBorders>
            <w:noWrap w:val="0"/>
            <w:vAlign w:val="center"/>
          </w:tcPr>
          <w:p w14:paraId="620239C7">
            <w:pPr>
              <w:pStyle w:val="23"/>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w:t>
            </w:r>
          </w:p>
          <w:p w14:paraId="1D19710A">
            <w:pPr>
              <w:pStyle w:val="23"/>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w:t>
            </w:r>
          </w:p>
        </w:tc>
        <w:tc>
          <w:tcPr>
            <w:tcW w:w="1602" w:type="pct"/>
            <w:tcBorders>
              <w:tl2br w:val="nil"/>
              <w:tr2bl w:val="nil"/>
            </w:tcBorders>
            <w:noWrap w:val="0"/>
            <w:vAlign w:val="center"/>
          </w:tcPr>
          <w:p w14:paraId="5D4E50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b/>
                <w:bCs/>
                <w:color w:val="auto"/>
                <w:sz w:val="21"/>
                <w:szCs w:val="21"/>
              </w:rPr>
              <w:t>废</w:t>
            </w:r>
            <w:r>
              <w:rPr>
                <w:rFonts w:hint="default" w:ascii="Times New Roman" w:hAnsi="Times New Roman" w:eastAsia="宋体" w:cs="Times New Roman"/>
                <w:b/>
                <w:bCs/>
                <w:color w:val="auto"/>
                <w:sz w:val="21"/>
                <w:szCs w:val="21"/>
              </w:rPr>
              <w:t>气：</w:t>
            </w:r>
            <w:r>
              <w:rPr>
                <w:rFonts w:hint="eastAsia" w:cs="Times New Roman"/>
                <w:b w:val="0"/>
                <w:bCs w:val="0"/>
                <w:color w:val="auto"/>
                <w:sz w:val="21"/>
                <w:szCs w:val="21"/>
                <w:lang w:val="en-US" w:eastAsia="zh-CN"/>
              </w:rPr>
              <w:t>粉尘</w:t>
            </w:r>
            <w:r>
              <w:rPr>
                <w:rFonts w:hint="default" w:ascii="Times New Roman" w:hAnsi="Times New Roman" w:eastAsia="宋体" w:cs="Times New Roman"/>
                <w:b w:val="0"/>
                <w:bCs w:val="0"/>
                <w:color w:val="auto"/>
                <w:sz w:val="21"/>
                <w:szCs w:val="21"/>
              </w:rPr>
              <w:t>采取湿式除尘、开采时喷雾抑尘、定期洒水、路面硬化，控制车速和载重，采取油烟净化装置进行处理后通过油烟管道引至屋顶排放</w:t>
            </w:r>
          </w:p>
          <w:p w14:paraId="3EFE5789">
            <w:pPr>
              <w:pStyle w:val="23"/>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废水：</w:t>
            </w:r>
            <w:r>
              <w:rPr>
                <w:rFonts w:hint="eastAsia" w:cs="Times New Roman"/>
                <w:sz w:val="21"/>
                <w:szCs w:val="21"/>
                <w:lang w:eastAsia="zh-CN"/>
              </w:rPr>
              <w:t>生活污水</w:t>
            </w:r>
            <w:r>
              <w:rPr>
                <w:rFonts w:hint="default" w:ascii="Times New Roman" w:hAnsi="Times New Roman" w:cs="Times New Roman"/>
                <w:sz w:val="21"/>
                <w:szCs w:val="21"/>
              </w:rPr>
              <w:t>经一体化污水处理设备处理后</w:t>
            </w:r>
            <w:r>
              <w:rPr>
                <w:rFonts w:hint="eastAsia" w:cs="Times New Roman"/>
                <w:sz w:val="21"/>
                <w:szCs w:val="21"/>
                <w:lang w:eastAsia="zh-CN"/>
              </w:rPr>
              <w:t>回用于</w:t>
            </w:r>
            <w:r>
              <w:rPr>
                <w:rFonts w:hint="eastAsia" w:ascii="Times New Roman" w:hAnsi="Times New Roman" w:cs="Times New Roman"/>
                <w:sz w:val="21"/>
                <w:szCs w:val="21"/>
                <w:lang w:val="en-US" w:eastAsia="zh-CN"/>
              </w:rPr>
              <w:t>生产</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初期雨水</w:t>
            </w:r>
            <w:r>
              <w:rPr>
                <w:rFonts w:hint="eastAsia" w:ascii="Times New Roman" w:hAnsi="Times New Roman" w:cs="Times New Roman"/>
                <w:sz w:val="21"/>
                <w:szCs w:val="21"/>
                <w:lang w:eastAsia="zh-CN"/>
              </w:rPr>
              <w:t>和生产废水经</w:t>
            </w:r>
            <w:r>
              <w:rPr>
                <w:rFonts w:hint="default" w:ascii="Times New Roman" w:hAnsi="Times New Roman" w:cs="Times New Roman"/>
                <w:sz w:val="21"/>
                <w:szCs w:val="21"/>
                <w:lang w:eastAsia="zh-CN"/>
              </w:rPr>
              <w:t>截排水沟</w:t>
            </w:r>
            <w:r>
              <w:rPr>
                <w:rFonts w:hint="eastAsia" w:ascii="Times New Roman" w:hAnsi="Times New Roman" w:cs="Times New Roman"/>
                <w:sz w:val="21"/>
                <w:szCs w:val="21"/>
                <w:lang w:eastAsia="zh-CN"/>
              </w:rPr>
              <w:t>到</w:t>
            </w:r>
            <w:r>
              <w:rPr>
                <w:rFonts w:hint="default" w:ascii="Times New Roman" w:hAnsi="Times New Roman" w:cs="Times New Roman"/>
                <w:sz w:val="21"/>
                <w:szCs w:val="21"/>
                <w:lang w:eastAsia="zh-CN"/>
              </w:rPr>
              <w:t>沉淀池、</w:t>
            </w:r>
            <w:r>
              <w:rPr>
                <w:rFonts w:hint="eastAsia" w:ascii="Times New Roman" w:hAnsi="Times New Roman" w:cs="Times New Roman"/>
                <w:sz w:val="21"/>
                <w:szCs w:val="21"/>
                <w:lang w:eastAsia="zh-CN"/>
              </w:rPr>
              <w:t>雨水收集池、</w:t>
            </w:r>
            <w:r>
              <w:rPr>
                <w:rFonts w:hint="default" w:ascii="Times New Roman" w:hAnsi="Times New Roman" w:cs="Times New Roman"/>
                <w:sz w:val="21"/>
                <w:szCs w:val="21"/>
                <w:lang w:eastAsia="zh-CN"/>
              </w:rPr>
              <w:t>污水处理设备处理后回用</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污水处理站规模为</w:t>
            </w:r>
            <w:r>
              <w:rPr>
                <w:rFonts w:hint="eastAsia" w:ascii="Times New Roman" w:hAnsi="Times New Roman" w:eastAsia="宋体" w:cs="Times New Roman"/>
                <w:color w:val="000000"/>
                <w:sz w:val="21"/>
                <w:szCs w:val="21"/>
                <w:highlight w:val="none"/>
                <w:lang w:val="en-US" w:eastAsia="zh-CN"/>
              </w:rPr>
              <w:t>18000</w:t>
            </w:r>
            <w:r>
              <w:rPr>
                <w:rFonts w:hint="eastAsia" w:ascii="Times New Roman" w:hAnsi="Times New Roman" w:cs="Times New Roman"/>
                <w:sz w:val="21"/>
                <w:szCs w:val="21"/>
                <w:lang w:val="en-US" w:eastAsia="zh-CN"/>
              </w:rPr>
              <w:t>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val="en-US" w:eastAsia="zh-CN"/>
              </w:rPr>
              <w:t>/d。</w:t>
            </w:r>
          </w:p>
          <w:p w14:paraId="0585B409">
            <w:pPr>
              <w:pStyle w:val="23"/>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噪声：</w:t>
            </w:r>
            <w:r>
              <w:rPr>
                <w:rFonts w:hint="default" w:ascii="Times New Roman" w:hAnsi="Times New Roman" w:eastAsia="宋体" w:cs="Times New Roman"/>
                <w:color w:val="auto"/>
                <w:spacing w:val="0"/>
                <w:w w:val="100"/>
                <w:position w:val="0"/>
                <w:sz w:val="21"/>
                <w:szCs w:val="21"/>
                <w:u w:val="none"/>
                <w:lang w:val="en-US"/>
              </w:rPr>
              <w:t>选购低噪设备，合理布局</w:t>
            </w:r>
            <w:r>
              <w:rPr>
                <w:rFonts w:hint="eastAsia" w:ascii="Times New Roman" w:hAnsi="Times New Roman" w:eastAsia="宋体" w:cs="Times New Roman"/>
                <w:color w:val="auto"/>
                <w:spacing w:val="0"/>
                <w:w w:val="100"/>
                <w:position w:val="0"/>
                <w:sz w:val="21"/>
                <w:szCs w:val="21"/>
                <w:u w:val="none"/>
                <w:lang w:val="en-US" w:eastAsia="zh-CN"/>
              </w:rPr>
              <w:t>；</w:t>
            </w:r>
            <w:r>
              <w:rPr>
                <w:rFonts w:hint="default" w:ascii="Times New Roman" w:hAnsi="Times New Roman" w:eastAsia="宋体" w:cs="Times New Roman"/>
                <w:color w:val="auto"/>
                <w:sz w:val="21"/>
                <w:szCs w:val="21"/>
              </w:rPr>
              <w:t>减震、隔声</w:t>
            </w:r>
            <w:r>
              <w:rPr>
                <w:rFonts w:hint="default" w:ascii="Times New Roman" w:hAnsi="Times New Roman" w:eastAsia="宋体" w:cs="Times New Roman"/>
                <w:color w:val="auto"/>
                <w:sz w:val="21"/>
                <w:szCs w:val="21"/>
                <w:lang w:eastAsia="zh-CN"/>
              </w:rPr>
              <w:t>、降噪</w:t>
            </w:r>
            <w:r>
              <w:rPr>
                <w:rFonts w:hint="default" w:ascii="Times New Roman" w:hAnsi="Times New Roman" w:eastAsia="宋体" w:cs="Times New Roman"/>
                <w:color w:val="auto"/>
                <w:sz w:val="21"/>
                <w:szCs w:val="21"/>
              </w:rPr>
              <w:t>等措施；合理安排工作时间。</w:t>
            </w:r>
          </w:p>
          <w:p w14:paraId="04EFB191">
            <w:pPr>
              <w:pStyle w:val="23"/>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bCs/>
                <w:color w:val="auto"/>
                <w:sz w:val="21"/>
                <w:szCs w:val="21"/>
              </w:rPr>
              <w:t>固废：</w:t>
            </w:r>
            <w:r>
              <w:rPr>
                <w:rFonts w:hint="default" w:ascii="Times New Roman" w:hAnsi="Times New Roman" w:eastAsia="宋体" w:cs="Times New Roman"/>
                <w:sz w:val="21"/>
                <w:szCs w:val="21"/>
                <w:lang w:eastAsia="zh-CN"/>
              </w:rPr>
              <w:t>矿山企业生产</w:t>
            </w:r>
            <w:r>
              <w:rPr>
                <w:rFonts w:hint="eastAsia" w:ascii="Times New Roman" w:hAnsi="Times New Roman" w:eastAsia="宋体" w:cs="Times New Roman"/>
                <w:sz w:val="21"/>
                <w:szCs w:val="21"/>
                <w:lang w:val="en-US" w:eastAsia="zh-CN"/>
              </w:rPr>
              <w:t>废料</w:t>
            </w:r>
            <w:r>
              <w:rPr>
                <w:rFonts w:hint="default" w:ascii="Times New Roman" w:hAnsi="Times New Roman" w:eastAsia="宋体" w:cs="Times New Roman"/>
                <w:sz w:val="21"/>
                <w:szCs w:val="21"/>
                <w:lang w:eastAsia="zh-CN"/>
              </w:rPr>
              <w:t>及剥离风化层直接由山下碎石加工企业负责运输至建筑石料加工工业场地</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含油废手套废抹布可混入生活垃圾处理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生活垃圾集中收集后交由当地环卫部门处置</w:t>
            </w:r>
            <w:r>
              <w:rPr>
                <w:rFonts w:hint="eastAsia" w:ascii="Times New Roman" w:hAnsi="Times New Roman" w:eastAsia="宋体" w:cs="Times New Roman"/>
                <w:sz w:val="21"/>
                <w:szCs w:val="21"/>
                <w:lang w:eastAsia="zh-CN"/>
              </w:rPr>
              <w:t>，沉淀池污泥定期清掏压滤后作为建筑材料外售，废机油暂存于危废间，</w:t>
            </w:r>
            <w:r>
              <w:rPr>
                <w:rFonts w:hint="eastAsia" w:cs="Times New Roman"/>
                <w:sz w:val="21"/>
                <w:szCs w:val="21"/>
                <w:lang w:eastAsia="zh-CN"/>
              </w:rPr>
              <w:t>交由</w:t>
            </w:r>
            <w:r>
              <w:rPr>
                <w:rFonts w:hint="eastAsia" w:ascii="Times New Roman" w:hAnsi="Times New Roman" w:eastAsia="宋体" w:cs="Times New Roman"/>
                <w:sz w:val="21"/>
                <w:szCs w:val="21"/>
                <w:lang w:eastAsia="zh-CN"/>
              </w:rPr>
              <w:t>有资质单位处理</w:t>
            </w:r>
          </w:p>
        </w:tc>
        <w:tc>
          <w:tcPr>
            <w:tcW w:w="1596" w:type="pct"/>
            <w:tcBorders>
              <w:tl2br w:val="nil"/>
              <w:tr2bl w:val="nil"/>
            </w:tcBorders>
            <w:noWrap w:val="0"/>
            <w:vAlign w:val="center"/>
          </w:tcPr>
          <w:p w14:paraId="5704941B">
            <w:pPr>
              <w:pStyle w:val="23"/>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b/>
                <w:bCs/>
                <w:color w:val="auto"/>
                <w:sz w:val="21"/>
                <w:szCs w:val="21"/>
              </w:rPr>
              <w:t>废气：</w:t>
            </w:r>
            <w:r>
              <w:rPr>
                <w:rFonts w:hint="eastAsia" w:cs="Times New Roman"/>
                <w:b w:val="0"/>
                <w:bCs w:val="0"/>
                <w:color w:val="auto"/>
                <w:sz w:val="21"/>
                <w:szCs w:val="21"/>
                <w:lang w:val="en-US" w:eastAsia="zh-CN"/>
              </w:rPr>
              <w:t>对表层剥离粉尘、切割分离、运输、装卸等工序产的粉尘</w:t>
            </w:r>
            <w:r>
              <w:rPr>
                <w:rFonts w:hint="default" w:ascii="Times New Roman" w:hAnsi="Times New Roman" w:eastAsia="宋体" w:cs="Times New Roman"/>
                <w:b w:val="0"/>
                <w:bCs w:val="0"/>
                <w:color w:val="auto"/>
                <w:sz w:val="21"/>
                <w:szCs w:val="21"/>
              </w:rPr>
              <w:t>采取湿式除尘、开采时喷雾抑尘、定期洒水、路面硬化，控制车速和载重，</w:t>
            </w:r>
            <w:r>
              <w:rPr>
                <w:rFonts w:hint="eastAsia" w:ascii="Times New Roman" w:hAnsi="Times New Roman" w:eastAsia="宋体" w:cs="Times New Roman"/>
                <w:b w:val="0"/>
                <w:bCs w:val="0"/>
                <w:color w:val="auto"/>
                <w:sz w:val="21"/>
                <w:szCs w:val="21"/>
                <w:highlight w:val="none"/>
                <w:lang w:val="en-US" w:eastAsia="zh-CN"/>
              </w:rPr>
              <w:t>；食堂油烟通过油烟净化装置处理后排放。</w:t>
            </w:r>
          </w:p>
          <w:p w14:paraId="79235DBB">
            <w:pPr>
              <w:pStyle w:val="23"/>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废水：</w:t>
            </w:r>
            <w:r>
              <w:rPr>
                <w:rFonts w:hint="eastAsia" w:cs="Times New Roman"/>
                <w:sz w:val="21"/>
                <w:szCs w:val="21"/>
                <w:lang w:eastAsia="zh-CN"/>
              </w:rPr>
              <w:t>生活污水</w:t>
            </w:r>
            <w:r>
              <w:rPr>
                <w:rFonts w:hint="default" w:ascii="Times New Roman" w:hAnsi="Times New Roman" w:cs="Times New Roman"/>
                <w:sz w:val="21"/>
                <w:szCs w:val="21"/>
              </w:rPr>
              <w:t>经一体化污水处理设备处理后</w:t>
            </w:r>
            <w:r>
              <w:rPr>
                <w:rFonts w:hint="eastAsia" w:cs="Times New Roman"/>
                <w:sz w:val="21"/>
                <w:szCs w:val="21"/>
                <w:lang w:eastAsia="zh-CN"/>
              </w:rPr>
              <w:t>回用于</w:t>
            </w:r>
            <w:r>
              <w:rPr>
                <w:rFonts w:hint="eastAsia" w:ascii="Times New Roman" w:hAnsi="Times New Roman" w:cs="Times New Roman"/>
                <w:sz w:val="21"/>
                <w:szCs w:val="21"/>
                <w:lang w:val="en-US" w:eastAsia="zh-CN"/>
              </w:rPr>
              <w:t>生产</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初期雨水</w:t>
            </w:r>
            <w:r>
              <w:rPr>
                <w:rFonts w:hint="eastAsia" w:ascii="Times New Roman" w:hAnsi="Times New Roman" w:cs="Times New Roman"/>
                <w:sz w:val="21"/>
                <w:szCs w:val="21"/>
                <w:lang w:eastAsia="zh-CN"/>
              </w:rPr>
              <w:t>和生产废水经</w:t>
            </w:r>
            <w:r>
              <w:rPr>
                <w:rFonts w:hint="default" w:ascii="Times New Roman" w:hAnsi="Times New Roman" w:cs="Times New Roman"/>
                <w:sz w:val="21"/>
                <w:szCs w:val="21"/>
                <w:lang w:eastAsia="zh-CN"/>
              </w:rPr>
              <w:t>截排水沟</w:t>
            </w:r>
            <w:r>
              <w:rPr>
                <w:rFonts w:hint="eastAsia" w:ascii="Times New Roman" w:hAnsi="Times New Roman" w:cs="Times New Roman"/>
                <w:sz w:val="21"/>
                <w:szCs w:val="21"/>
                <w:lang w:eastAsia="zh-CN"/>
              </w:rPr>
              <w:t>到</w:t>
            </w:r>
            <w:r>
              <w:rPr>
                <w:rFonts w:hint="default" w:ascii="Times New Roman" w:hAnsi="Times New Roman" w:cs="Times New Roman"/>
                <w:sz w:val="21"/>
                <w:szCs w:val="21"/>
                <w:lang w:eastAsia="zh-CN"/>
              </w:rPr>
              <w:t>沉淀池、</w:t>
            </w:r>
            <w:r>
              <w:rPr>
                <w:rFonts w:hint="eastAsia" w:ascii="Times New Roman" w:hAnsi="Times New Roman" w:cs="Times New Roman"/>
                <w:sz w:val="21"/>
                <w:szCs w:val="21"/>
                <w:lang w:eastAsia="zh-CN"/>
              </w:rPr>
              <w:t>雨水收集池、</w:t>
            </w:r>
            <w:r>
              <w:rPr>
                <w:rFonts w:hint="default" w:ascii="Times New Roman" w:hAnsi="Times New Roman" w:cs="Times New Roman"/>
                <w:sz w:val="21"/>
                <w:szCs w:val="21"/>
                <w:lang w:eastAsia="zh-CN"/>
              </w:rPr>
              <w:t>污水处理设备处理后回用</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污水处理站规模为</w:t>
            </w:r>
            <w:r>
              <w:rPr>
                <w:rFonts w:hint="eastAsia" w:ascii="Times New Roman" w:hAnsi="Times New Roman" w:eastAsia="宋体" w:cs="Times New Roman"/>
                <w:color w:val="000000"/>
                <w:sz w:val="21"/>
                <w:szCs w:val="21"/>
                <w:highlight w:val="none"/>
                <w:lang w:val="en-US" w:eastAsia="zh-CN"/>
              </w:rPr>
              <w:t>18000</w:t>
            </w:r>
            <w:r>
              <w:rPr>
                <w:rFonts w:hint="eastAsia" w:ascii="Times New Roman" w:hAnsi="Times New Roman" w:cs="Times New Roman"/>
                <w:sz w:val="21"/>
                <w:szCs w:val="21"/>
                <w:lang w:val="en-US" w:eastAsia="zh-CN"/>
              </w:rPr>
              <w:t>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val="en-US" w:eastAsia="zh-CN"/>
              </w:rPr>
              <w:t>/d。</w:t>
            </w:r>
          </w:p>
          <w:p w14:paraId="0BA54397">
            <w:pPr>
              <w:pStyle w:val="23"/>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噪声：</w:t>
            </w:r>
            <w:r>
              <w:rPr>
                <w:rFonts w:hint="default" w:ascii="Times New Roman" w:hAnsi="Times New Roman" w:eastAsia="宋体" w:cs="Times New Roman"/>
                <w:color w:val="auto"/>
                <w:spacing w:val="0"/>
                <w:w w:val="100"/>
                <w:position w:val="0"/>
                <w:sz w:val="21"/>
                <w:szCs w:val="21"/>
                <w:u w:val="none"/>
                <w:lang w:val="en-US"/>
              </w:rPr>
              <w:t>选购低噪设备，合理布局</w:t>
            </w:r>
            <w:r>
              <w:rPr>
                <w:rFonts w:hint="eastAsia" w:ascii="Times New Roman" w:hAnsi="Times New Roman" w:eastAsia="宋体" w:cs="Times New Roman"/>
                <w:color w:val="auto"/>
                <w:spacing w:val="0"/>
                <w:w w:val="100"/>
                <w:position w:val="0"/>
                <w:sz w:val="21"/>
                <w:szCs w:val="21"/>
                <w:u w:val="none"/>
                <w:lang w:val="en-US" w:eastAsia="zh-CN"/>
              </w:rPr>
              <w:t>；</w:t>
            </w:r>
            <w:r>
              <w:rPr>
                <w:rFonts w:hint="default" w:ascii="Times New Roman" w:hAnsi="Times New Roman" w:eastAsia="宋体" w:cs="Times New Roman"/>
                <w:color w:val="auto"/>
                <w:sz w:val="21"/>
                <w:szCs w:val="21"/>
              </w:rPr>
              <w:t>减震、隔声</w:t>
            </w:r>
            <w:r>
              <w:rPr>
                <w:rFonts w:hint="default" w:ascii="Times New Roman" w:hAnsi="Times New Roman" w:eastAsia="宋体" w:cs="Times New Roman"/>
                <w:color w:val="auto"/>
                <w:sz w:val="21"/>
                <w:szCs w:val="21"/>
                <w:lang w:eastAsia="zh-CN"/>
              </w:rPr>
              <w:t>、降噪</w:t>
            </w:r>
            <w:r>
              <w:rPr>
                <w:rFonts w:hint="default" w:ascii="Times New Roman" w:hAnsi="Times New Roman" w:eastAsia="宋体" w:cs="Times New Roman"/>
                <w:color w:val="auto"/>
                <w:sz w:val="21"/>
                <w:szCs w:val="21"/>
              </w:rPr>
              <w:t>等措施；合理安排工作时间</w:t>
            </w:r>
            <w:r>
              <w:rPr>
                <w:rFonts w:hint="default" w:ascii="Times New Roman" w:hAnsi="Times New Roman" w:cs="Times New Roman"/>
                <w:color w:val="auto"/>
                <w:sz w:val="21"/>
                <w:szCs w:val="21"/>
              </w:rPr>
              <w:t>。</w:t>
            </w:r>
          </w:p>
          <w:p w14:paraId="18A39890">
            <w:pPr>
              <w:pStyle w:val="23"/>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固废：</w:t>
            </w:r>
            <w:r>
              <w:rPr>
                <w:rFonts w:hint="default" w:ascii="Times New Roman" w:hAnsi="Times New Roman" w:eastAsia="宋体" w:cs="Times New Roman"/>
                <w:sz w:val="21"/>
                <w:szCs w:val="21"/>
                <w:lang w:eastAsia="zh-CN"/>
              </w:rPr>
              <w:t>矿山企业生产</w:t>
            </w:r>
            <w:r>
              <w:rPr>
                <w:rFonts w:hint="eastAsia" w:ascii="Times New Roman" w:hAnsi="Times New Roman" w:eastAsia="宋体" w:cs="Times New Roman"/>
                <w:sz w:val="21"/>
                <w:szCs w:val="21"/>
                <w:lang w:val="en-US" w:eastAsia="zh-CN"/>
              </w:rPr>
              <w:t>废料</w:t>
            </w:r>
            <w:r>
              <w:rPr>
                <w:rFonts w:hint="default" w:ascii="Times New Roman" w:hAnsi="Times New Roman" w:eastAsia="宋体" w:cs="Times New Roman"/>
                <w:sz w:val="21"/>
                <w:szCs w:val="21"/>
                <w:lang w:eastAsia="zh-CN"/>
              </w:rPr>
              <w:t>及剥离风化层直接由山下碎石加工企业负责运输至建筑石料加工工业场地</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生活垃圾集中收集后交由当地环卫部门处置</w:t>
            </w:r>
            <w:r>
              <w:rPr>
                <w:rFonts w:hint="eastAsia" w:ascii="Times New Roman" w:hAnsi="Times New Roman" w:eastAsia="宋体" w:cs="Times New Roman"/>
                <w:sz w:val="21"/>
                <w:szCs w:val="21"/>
                <w:lang w:eastAsia="zh-CN"/>
              </w:rPr>
              <w:t>，沉淀池污泥定期清掏压滤后作为建筑材料外售，</w:t>
            </w:r>
            <w:r>
              <w:rPr>
                <w:rFonts w:hint="default" w:ascii="Times New Roman" w:hAnsi="Times New Roman" w:eastAsia="宋体" w:cs="Times New Roman"/>
                <w:sz w:val="21"/>
                <w:szCs w:val="21"/>
                <w:lang w:eastAsia="zh-CN"/>
              </w:rPr>
              <w:t>含油废手套废抹布</w:t>
            </w:r>
            <w:r>
              <w:rPr>
                <w:rFonts w:hint="eastAsia" w:ascii="Times New Roman" w:hAnsi="Times New Roman" w:cs="Times New Roman"/>
                <w:sz w:val="21"/>
                <w:szCs w:val="21"/>
                <w:lang w:eastAsia="zh-CN"/>
              </w:rPr>
              <w:t>、</w:t>
            </w:r>
            <w:r>
              <w:rPr>
                <w:rFonts w:hint="eastAsia" w:ascii="Times New Roman" w:hAnsi="Times New Roman" w:eastAsia="宋体" w:cs="Times New Roman"/>
                <w:sz w:val="21"/>
                <w:szCs w:val="21"/>
                <w:lang w:eastAsia="zh-CN"/>
              </w:rPr>
              <w:t>废机油暂存于危废间，</w:t>
            </w:r>
            <w:r>
              <w:rPr>
                <w:rFonts w:hint="eastAsia" w:cs="Times New Roman"/>
                <w:sz w:val="21"/>
                <w:szCs w:val="21"/>
                <w:lang w:eastAsia="zh-CN"/>
              </w:rPr>
              <w:t>交由</w:t>
            </w:r>
            <w:r>
              <w:rPr>
                <w:rFonts w:hint="eastAsia" w:ascii="Times New Roman" w:hAnsi="Times New Roman" w:eastAsia="宋体" w:cs="Times New Roman"/>
                <w:sz w:val="21"/>
                <w:szCs w:val="21"/>
                <w:lang w:eastAsia="zh-CN"/>
              </w:rPr>
              <w:t>有资质单位处理</w:t>
            </w:r>
          </w:p>
        </w:tc>
        <w:tc>
          <w:tcPr>
            <w:tcW w:w="918" w:type="pct"/>
            <w:tcBorders>
              <w:tl2br w:val="nil"/>
              <w:tr2bl w:val="nil"/>
            </w:tcBorders>
            <w:noWrap w:val="0"/>
            <w:vAlign w:val="center"/>
          </w:tcPr>
          <w:p w14:paraId="79AAABA1">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pacing w:val="-24"/>
                <w:sz w:val="21"/>
                <w:szCs w:val="21"/>
                <w:lang w:eastAsia="zh-CN"/>
              </w:rPr>
            </w:pPr>
            <w:r>
              <w:rPr>
                <w:rFonts w:hint="default" w:ascii="Times New Roman" w:hAnsi="Times New Roman" w:cs="Times New Roman"/>
                <w:color w:val="auto"/>
                <w:sz w:val="21"/>
                <w:szCs w:val="21"/>
              </w:rPr>
              <w:t>可以将</w:t>
            </w:r>
            <w:r>
              <w:rPr>
                <w:rFonts w:hint="eastAsia" w:ascii="Times New Roman" w:hAnsi="Times New Roman" w:cs="Times New Roman"/>
                <w:color w:val="auto"/>
                <w:sz w:val="21"/>
                <w:szCs w:val="21"/>
                <w:lang w:val="en-US" w:eastAsia="zh-CN"/>
              </w:rPr>
              <w:t>运营期</w:t>
            </w:r>
            <w:r>
              <w:rPr>
                <w:rFonts w:hint="default" w:ascii="Times New Roman" w:hAnsi="Times New Roman" w:cs="Times New Roman"/>
                <w:color w:val="auto"/>
                <w:sz w:val="21"/>
                <w:szCs w:val="21"/>
                <w:lang w:val="en-US" w:eastAsia="zh-CN"/>
              </w:rPr>
              <w:t>污染物对环境的</w:t>
            </w:r>
            <w:r>
              <w:rPr>
                <w:rFonts w:hint="default" w:ascii="Times New Roman" w:hAnsi="Times New Roman" w:cs="Times New Roman"/>
                <w:color w:val="auto"/>
                <w:sz w:val="21"/>
                <w:szCs w:val="21"/>
              </w:rPr>
              <w:t>影响降到最小</w:t>
            </w:r>
            <w:r>
              <w:rPr>
                <w:rFonts w:hint="default" w:ascii="Times New Roman" w:hAnsi="Times New Roman" w:cs="Times New Roman"/>
                <w:color w:val="auto"/>
                <w:spacing w:val="-24"/>
                <w:sz w:val="21"/>
                <w:szCs w:val="21"/>
                <w:lang w:eastAsia="zh-CN"/>
              </w:rPr>
              <w:t>。</w:t>
            </w:r>
          </w:p>
        </w:tc>
      </w:tr>
      <w:tr w14:paraId="4FAA3E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4" w:type="pct"/>
            <w:vMerge w:val="continue"/>
            <w:tcBorders>
              <w:tl2br w:val="nil"/>
              <w:tr2bl w:val="nil"/>
            </w:tcBorders>
            <w:noWrap w:val="0"/>
            <w:vAlign w:val="center"/>
          </w:tcPr>
          <w:p w14:paraId="257B9F12">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b/>
                <w:color w:val="auto"/>
                <w:sz w:val="24"/>
                <w:szCs w:val="24"/>
              </w:rPr>
            </w:pPr>
          </w:p>
        </w:tc>
        <w:tc>
          <w:tcPr>
            <w:tcW w:w="398" w:type="pct"/>
            <w:tcBorders>
              <w:tl2br w:val="nil"/>
              <w:tr2bl w:val="nil"/>
            </w:tcBorders>
            <w:noWrap w:val="0"/>
            <w:vAlign w:val="center"/>
          </w:tcPr>
          <w:p w14:paraId="403C9CBE">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社会</w:t>
            </w:r>
          </w:p>
          <w:p w14:paraId="1BD49B6A">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w:t>
            </w:r>
          </w:p>
        </w:tc>
        <w:tc>
          <w:tcPr>
            <w:tcW w:w="3198" w:type="pct"/>
            <w:gridSpan w:val="2"/>
            <w:tcBorders>
              <w:tl2br w:val="nil"/>
              <w:tr2bl w:val="nil"/>
            </w:tcBorders>
            <w:noWrap w:val="0"/>
            <w:vAlign w:val="center"/>
          </w:tcPr>
          <w:p w14:paraId="3C9153AE">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未涉及</w:t>
            </w:r>
            <w:r>
              <w:rPr>
                <w:rFonts w:hint="eastAsia" w:cs="Times New Roman"/>
                <w:color w:val="auto"/>
                <w:sz w:val="21"/>
                <w:szCs w:val="21"/>
                <w:lang w:val="en-US" w:eastAsia="zh-CN"/>
              </w:rPr>
              <w:t>社会</w:t>
            </w:r>
            <w:r>
              <w:rPr>
                <w:rFonts w:hint="default" w:ascii="Times New Roman" w:hAnsi="Times New Roman" w:cs="Times New Roman"/>
                <w:color w:val="auto"/>
                <w:sz w:val="21"/>
                <w:szCs w:val="21"/>
              </w:rPr>
              <w:t>影响减缓措施</w:t>
            </w:r>
          </w:p>
        </w:tc>
        <w:tc>
          <w:tcPr>
            <w:tcW w:w="918" w:type="pct"/>
            <w:tcBorders>
              <w:tl2br w:val="nil"/>
              <w:tr2bl w:val="nil"/>
            </w:tcBorders>
            <w:noWrap w:val="0"/>
            <w:vAlign w:val="center"/>
          </w:tcPr>
          <w:p w14:paraId="0B04C463">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eastAsia="宋体" w:cs="Times New Roman"/>
                <w:color w:val="auto"/>
                <w:spacing w:val="-24"/>
                <w:sz w:val="21"/>
                <w:szCs w:val="21"/>
                <w:lang w:eastAsia="zh-CN"/>
              </w:rPr>
            </w:pPr>
            <w:r>
              <w:rPr>
                <w:rFonts w:hint="default" w:ascii="Times New Roman" w:hAnsi="Times New Roman" w:cs="Times New Roman"/>
                <w:color w:val="auto"/>
                <w:sz w:val="21"/>
                <w:szCs w:val="21"/>
              </w:rPr>
              <w:t>未对当地居民生活造成影响</w:t>
            </w:r>
            <w:r>
              <w:rPr>
                <w:rFonts w:hint="eastAsia" w:ascii="Times New Roman" w:hAnsi="Times New Roman" w:cs="Times New Roman"/>
                <w:color w:val="auto"/>
                <w:sz w:val="21"/>
                <w:szCs w:val="21"/>
                <w:lang w:eastAsia="zh-CN"/>
              </w:rPr>
              <w:t>。</w:t>
            </w:r>
          </w:p>
        </w:tc>
      </w:tr>
      <w:tr w14:paraId="417ED8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5"/>
            <w:tcBorders>
              <w:tl2br w:val="nil"/>
              <w:tr2bl w:val="nil"/>
            </w:tcBorders>
            <w:noWrap w:val="0"/>
            <w:vAlign w:val="center"/>
          </w:tcPr>
          <w:p w14:paraId="38573873">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eastAsia="宋体" w:cs="Times New Roman"/>
                <w:color w:val="auto"/>
                <w:sz w:val="24"/>
                <w:szCs w:val="24"/>
                <w:lang w:eastAsia="zh-CN"/>
              </w:rPr>
            </w:pPr>
          </w:p>
          <w:p w14:paraId="434D9D2F">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eastAsia="宋体" w:cs="Times New Roman"/>
                <w:color w:val="auto"/>
                <w:sz w:val="24"/>
                <w:szCs w:val="24"/>
                <w:lang w:eastAsia="zh-CN"/>
              </w:rPr>
            </w:pPr>
          </w:p>
          <w:p w14:paraId="576F552B">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eastAsia="宋体" w:cs="Times New Roman"/>
                <w:color w:val="auto"/>
                <w:sz w:val="24"/>
                <w:szCs w:val="24"/>
                <w:lang w:eastAsia="zh-CN"/>
              </w:rPr>
            </w:pPr>
          </w:p>
          <w:p w14:paraId="225BB4D8">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eastAsia="宋体" w:cs="Times New Roman"/>
                <w:color w:val="auto"/>
                <w:sz w:val="24"/>
                <w:szCs w:val="24"/>
                <w:lang w:eastAsia="zh-CN"/>
              </w:rPr>
            </w:pPr>
          </w:p>
          <w:p w14:paraId="357F3292">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eastAsia="宋体" w:cs="Times New Roman"/>
                <w:color w:val="auto"/>
                <w:sz w:val="24"/>
                <w:szCs w:val="24"/>
                <w:lang w:eastAsia="zh-CN"/>
              </w:rPr>
            </w:pPr>
          </w:p>
          <w:p w14:paraId="6139E6AC">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eastAsia="宋体" w:cs="Times New Roman"/>
                <w:color w:val="auto"/>
                <w:sz w:val="24"/>
                <w:szCs w:val="24"/>
                <w:lang w:eastAsia="zh-CN"/>
              </w:rPr>
            </w:pPr>
          </w:p>
          <w:p w14:paraId="2417A79A">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eastAsia="宋体" w:cs="Times New Roman"/>
                <w:color w:val="auto"/>
                <w:sz w:val="24"/>
                <w:szCs w:val="24"/>
                <w:lang w:eastAsia="zh-CN"/>
              </w:rPr>
            </w:pPr>
          </w:p>
          <w:p w14:paraId="23B11A52">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eastAsia="宋体" w:cs="Times New Roman"/>
                <w:color w:val="auto"/>
                <w:sz w:val="24"/>
                <w:szCs w:val="24"/>
                <w:lang w:eastAsia="zh-CN"/>
              </w:rPr>
            </w:pPr>
          </w:p>
          <w:p w14:paraId="3AA8A711">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eastAsia="宋体" w:cs="Times New Roman"/>
                <w:color w:val="auto"/>
                <w:sz w:val="24"/>
                <w:szCs w:val="24"/>
                <w:lang w:eastAsia="zh-CN"/>
              </w:rPr>
            </w:pPr>
          </w:p>
          <w:p w14:paraId="63DA29B5">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eastAsia="宋体" w:cs="Times New Roman"/>
                <w:color w:val="auto"/>
                <w:sz w:val="24"/>
                <w:szCs w:val="24"/>
                <w:lang w:eastAsia="zh-CN"/>
              </w:rPr>
            </w:pPr>
          </w:p>
          <w:p w14:paraId="0165A982">
            <w:pPr>
              <w:pStyle w:val="23"/>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eastAsia="宋体" w:cs="Times New Roman"/>
                <w:color w:val="auto"/>
                <w:sz w:val="24"/>
                <w:szCs w:val="24"/>
                <w:lang w:eastAsia="zh-CN"/>
              </w:rPr>
            </w:pPr>
          </w:p>
        </w:tc>
      </w:tr>
    </w:tbl>
    <w:p w14:paraId="1736C61D">
      <w:pPr>
        <w:spacing w:line="292" w:lineRule="exact"/>
        <w:rPr>
          <w:rFonts w:hint="default" w:ascii="Times New Roman" w:hAnsi="Times New Roman" w:cs="Times New Roman"/>
          <w:sz w:val="24"/>
        </w:rPr>
        <w:sectPr>
          <w:pgSz w:w="11911" w:h="16838"/>
          <w:pgMar w:top="1440" w:right="1361" w:bottom="1440" w:left="1361" w:header="964" w:footer="918" w:gutter="0"/>
          <w:pgBorders>
            <w:top w:val="none" w:sz="0" w:space="0"/>
            <w:left w:val="none" w:sz="0" w:space="0"/>
            <w:bottom w:val="none" w:sz="0" w:space="0"/>
            <w:right w:val="none" w:sz="0" w:space="0"/>
          </w:pgBorders>
          <w:pgNumType w:fmt="decimal"/>
          <w:cols w:space="720" w:num="1"/>
          <w:rtlGutter w:val="0"/>
          <w:docGrid w:linePitch="0" w:charSpace="0"/>
        </w:sectPr>
      </w:pPr>
    </w:p>
    <w:p w14:paraId="264B3B85">
      <w:pPr>
        <w:rPr>
          <w:rFonts w:hint="default" w:ascii="Times New Roman" w:hAnsi="Times New Roman" w:cs="Times New Roman"/>
          <w:sz w:val="2"/>
          <w:szCs w:val="2"/>
        </w:rPr>
      </w:pPr>
    </w:p>
    <w:p w14:paraId="7885F879">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kern w:val="0"/>
          <w:sz w:val="32"/>
          <w:szCs w:val="56"/>
          <w:lang w:val="en-US" w:bidi="ar-SA"/>
        </w:rPr>
      </w:pPr>
      <w:bookmarkStart w:id="30" w:name="表7_环境影响调查"/>
      <w:bookmarkEnd w:id="30"/>
      <w:bookmarkStart w:id="31" w:name="_Toc22468"/>
      <w:bookmarkStart w:id="32" w:name="_Toc29223"/>
      <w:r>
        <w:rPr>
          <w:rFonts w:hint="default" w:ascii="Times New Roman" w:hAnsi="Times New Roman" w:eastAsia="宋体" w:cs="Times New Roman"/>
          <w:b/>
          <w:bCs/>
          <w:kern w:val="0"/>
          <w:sz w:val="32"/>
          <w:szCs w:val="56"/>
          <w:lang w:val="en-US" w:bidi="ar-SA"/>
        </w:rPr>
        <w:t>表7</w:t>
      </w:r>
      <w:r>
        <w:rPr>
          <w:rFonts w:hint="default" w:ascii="Times New Roman" w:hAnsi="Times New Roman" w:eastAsia="宋体" w:cs="Times New Roman"/>
          <w:b/>
          <w:bCs/>
          <w:kern w:val="0"/>
          <w:sz w:val="32"/>
          <w:szCs w:val="56"/>
          <w:lang w:val="en-US" w:eastAsia="zh-CN" w:bidi="ar-SA"/>
        </w:rPr>
        <w:t xml:space="preserve"> </w:t>
      </w:r>
      <w:r>
        <w:rPr>
          <w:rFonts w:hint="default" w:ascii="Times New Roman" w:hAnsi="Times New Roman" w:eastAsia="宋体" w:cs="Times New Roman"/>
          <w:b/>
          <w:bCs/>
          <w:kern w:val="0"/>
          <w:sz w:val="32"/>
          <w:szCs w:val="56"/>
          <w:lang w:val="en-US" w:bidi="ar-SA"/>
        </w:rPr>
        <w:t xml:space="preserve"> 环境影响调查</w:t>
      </w:r>
      <w:bookmarkEnd w:id="31"/>
      <w:bookmarkEnd w:id="32"/>
    </w:p>
    <w:tbl>
      <w:tblPr>
        <w:tblStyle w:val="17"/>
        <w:tblW w:w="52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93"/>
        <w:gridCol w:w="763"/>
        <w:gridCol w:w="8375"/>
      </w:tblGrid>
      <w:tr w14:paraId="56595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6" w:type="pct"/>
            <w:vMerge w:val="restart"/>
            <w:noWrap w:val="0"/>
            <w:vAlign w:val="center"/>
          </w:tcPr>
          <w:p w14:paraId="46EBFFBB">
            <w:pPr>
              <w:pStyle w:val="23"/>
              <w:jc w:val="center"/>
              <w:rPr>
                <w:rFonts w:hint="default" w:ascii="Times New Roman" w:hAnsi="Times New Roman" w:cs="Times New Roman"/>
                <w:sz w:val="24"/>
              </w:rPr>
            </w:pPr>
            <w:r>
              <w:rPr>
                <w:rFonts w:hint="default" w:ascii="Times New Roman" w:hAnsi="Times New Roman" w:cs="Times New Roman"/>
                <w:sz w:val="28"/>
                <w:szCs w:val="24"/>
              </w:rPr>
              <w:t>施工期</w:t>
            </w:r>
          </w:p>
        </w:tc>
        <w:tc>
          <w:tcPr>
            <w:tcW w:w="396" w:type="pct"/>
            <w:noWrap w:val="0"/>
            <w:vAlign w:val="center"/>
          </w:tcPr>
          <w:p w14:paraId="0585CC9C">
            <w:pPr>
              <w:pStyle w:val="23"/>
              <w:jc w:val="center"/>
              <w:rPr>
                <w:rFonts w:hint="default" w:ascii="Times New Roman" w:hAnsi="Times New Roman" w:cs="Times New Roman"/>
                <w:sz w:val="24"/>
              </w:rPr>
            </w:pPr>
            <w:r>
              <w:rPr>
                <w:rFonts w:hint="default" w:ascii="Times New Roman" w:hAnsi="Times New Roman" w:cs="Times New Roman"/>
                <w:sz w:val="24"/>
              </w:rPr>
              <w:t>生</w:t>
            </w:r>
          </w:p>
          <w:p w14:paraId="40DCC43E">
            <w:pPr>
              <w:pStyle w:val="23"/>
              <w:jc w:val="center"/>
              <w:rPr>
                <w:rFonts w:hint="default" w:ascii="Times New Roman" w:hAnsi="Times New Roman" w:cs="Times New Roman"/>
                <w:sz w:val="24"/>
              </w:rPr>
            </w:pPr>
            <w:r>
              <w:rPr>
                <w:rFonts w:hint="default" w:ascii="Times New Roman" w:hAnsi="Times New Roman" w:cs="Times New Roman"/>
                <w:sz w:val="24"/>
              </w:rPr>
              <w:t>态</w:t>
            </w:r>
          </w:p>
          <w:p w14:paraId="63DD3F61">
            <w:pPr>
              <w:pStyle w:val="23"/>
              <w:jc w:val="center"/>
              <w:rPr>
                <w:rFonts w:hint="default" w:ascii="Times New Roman" w:hAnsi="Times New Roman" w:cs="Times New Roman"/>
                <w:sz w:val="24"/>
              </w:rPr>
            </w:pPr>
            <w:r>
              <w:rPr>
                <w:rFonts w:hint="default" w:ascii="Times New Roman" w:hAnsi="Times New Roman" w:cs="Times New Roman"/>
                <w:sz w:val="24"/>
              </w:rPr>
              <w:t>影</w:t>
            </w:r>
          </w:p>
          <w:p w14:paraId="482AACCD">
            <w:pPr>
              <w:pStyle w:val="23"/>
              <w:jc w:val="center"/>
              <w:rPr>
                <w:rFonts w:hint="default" w:ascii="Times New Roman" w:hAnsi="Times New Roman" w:cs="Times New Roman"/>
                <w:sz w:val="24"/>
              </w:rPr>
            </w:pPr>
            <w:r>
              <w:rPr>
                <w:rFonts w:hint="default" w:ascii="Times New Roman" w:hAnsi="Times New Roman" w:cs="Times New Roman"/>
                <w:sz w:val="24"/>
              </w:rPr>
              <w:t>响</w:t>
            </w:r>
          </w:p>
        </w:tc>
        <w:tc>
          <w:tcPr>
            <w:tcW w:w="4347" w:type="pct"/>
            <w:noWrap w:val="0"/>
            <w:vAlign w:val="top"/>
          </w:tcPr>
          <w:p w14:paraId="3F882623">
            <w:pPr>
              <w:pStyle w:val="23"/>
              <w:keepNext w:val="0"/>
              <w:keepLines w:val="0"/>
              <w:pageBreakBefore w:val="0"/>
              <w:widowControl w:val="0"/>
              <w:kinsoku/>
              <w:wordWrap/>
              <w:overflowPunct/>
              <w:topLinePunct w:val="0"/>
              <w:autoSpaceDE w:val="0"/>
              <w:autoSpaceDN w:val="0"/>
              <w:bidi w:val="0"/>
              <w:adjustRightInd/>
              <w:snapToGrid/>
              <w:spacing w:line="360" w:lineRule="auto"/>
              <w:ind w:right="0" w:firstLine="464" w:firstLineChars="200"/>
              <w:jc w:val="both"/>
              <w:textAlignment w:val="auto"/>
              <w:rPr>
                <w:rFonts w:hint="default" w:ascii="Times New Roman" w:hAnsi="Times New Roman" w:eastAsia="宋体" w:cs="Times New Roman"/>
                <w:spacing w:val="-4"/>
                <w:sz w:val="24"/>
                <w:lang w:eastAsia="zh-CN"/>
              </w:rPr>
            </w:pPr>
            <w:r>
              <w:rPr>
                <w:rFonts w:hint="default" w:ascii="Times New Roman" w:hAnsi="Times New Roman" w:cs="Times New Roman"/>
                <w:spacing w:val="-4"/>
                <w:sz w:val="24"/>
                <w:lang w:val="en-US" w:eastAsia="zh-CN"/>
              </w:rPr>
              <w:t>项</w:t>
            </w:r>
            <w:r>
              <w:rPr>
                <w:rFonts w:hint="default" w:ascii="Times New Roman" w:hAnsi="Times New Roman" w:cs="Times New Roman"/>
                <w:spacing w:val="-4"/>
                <w:sz w:val="24"/>
              </w:rPr>
              <w:t>目位于</w:t>
            </w:r>
            <w:r>
              <w:rPr>
                <w:rFonts w:hint="eastAsia" w:cs="Times New Roman"/>
                <w:sz w:val="24"/>
                <w:lang w:eastAsia="zh-CN"/>
              </w:rPr>
              <w:t>麻城市白鸭山矿区C8区块</w:t>
            </w:r>
            <w:r>
              <w:rPr>
                <w:rFonts w:hint="default" w:ascii="Times New Roman" w:hAnsi="Times New Roman" w:cs="Times New Roman"/>
                <w:spacing w:val="-4"/>
                <w:sz w:val="24"/>
                <w:lang w:val="en-US" w:eastAsia="zh-CN"/>
              </w:rPr>
              <w:t>，</w:t>
            </w:r>
            <w:r>
              <w:rPr>
                <w:rFonts w:hint="default" w:ascii="Times New Roman" w:hAnsi="Times New Roman" w:cs="Times New Roman"/>
                <w:color w:val="auto"/>
                <w:sz w:val="24"/>
                <w:szCs w:val="24"/>
              </w:rPr>
              <w:t>项目不涉及自然保护区、风景名胜区等特殊生态敏感区，也不涉及重要生态敏感区</w:t>
            </w:r>
            <w:r>
              <w:rPr>
                <w:rFonts w:hint="default" w:ascii="Times New Roman" w:hAnsi="Times New Roman" w:cs="Times New Roman"/>
                <w:color w:val="auto"/>
                <w:sz w:val="24"/>
                <w:szCs w:val="24"/>
                <w:lang w:eastAsia="zh-CN"/>
              </w:rPr>
              <w:t>。</w:t>
            </w:r>
            <w:r>
              <w:rPr>
                <w:rFonts w:hint="default" w:ascii="Times New Roman" w:hAnsi="Times New Roman" w:cs="Times New Roman"/>
                <w:spacing w:val="-4"/>
                <w:sz w:val="24"/>
                <w:lang w:val="en-US" w:eastAsia="zh-CN"/>
              </w:rPr>
              <w:t>调查采取</w:t>
            </w:r>
            <w:r>
              <w:rPr>
                <w:rFonts w:hint="default" w:ascii="Times New Roman" w:hAnsi="Times New Roman" w:cs="Times New Roman"/>
                <w:spacing w:val="-4"/>
                <w:sz w:val="24"/>
              </w:rPr>
              <w:t>资料收集以及现场调查相结合的方法</w:t>
            </w:r>
            <w:r>
              <w:rPr>
                <w:rFonts w:hint="default" w:ascii="Times New Roman" w:hAnsi="Times New Roman" w:cs="Times New Roman"/>
                <w:spacing w:val="-4"/>
                <w:sz w:val="24"/>
                <w:lang w:eastAsia="zh-CN"/>
              </w:rPr>
              <w:t>。</w:t>
            </w:r>
          </w:p>
          <w:p w14:paraId="6394697F">
            <w:pPr>
              <w:pStyle w:val="23"/>
              <w:keepNext w:val="0"/>
              <w:keepLines w:val="0"/>
              <w:pageBreakBefore w:val="0"/>
              <w:widowControl w:val="0"/>
              <w:kinsoku/>
              <w:wordWrap/>
              <w:overflowPunct/>
              <w:topLinePunct w:val="0"/>
              <w:autoSpaceDE w:val="0"/>
              <w:autoSpaceDN w:val="0"/>
              <w:bidi w:val="0"/>
              <w:adjustRightInd/>
              <w:snapToGrid/>
              <w:spacing w:line="360" w:lineRule="auto"/>
              <w:ind w:right="0" w:firstLine="464" w:firstLineChars="200"/>
              <w:jc w:val="both"/>
              <w:textAlignment w:val="auto"/>
              <w:rPr>
                <w:rFonts w:hint="default" w:ascii="Times New Roman" w:hAnsi="Times New Roman" w:cs="Times New Roman"/>
                <w:spacing w:val="-4"/>
                <w:sz w:val="24"/>
                <w:lang w:eastAsia="zh-CN"/>
              </w:rPr>
            </w:pPr>
            <w:r>
              <w:rPr>
                <w:rFonts w:hint="default" w:ascii="Times New Roman" w:hAnsi="Times New Roman" w:cs="Times New Roman"/>
                <w:spacing w:val="-4"/>
                <w:sz w:val="24"/>
                <w:lang w:val="en-US" w:eastAsia="zh-CN"/>
              </w:rPr>
              <w:t>项目区域</w:t>
            </w:r>
            <w:r>
              <w:rPr>
                <w:rFonts w:hint="default" w:ascii="Times New Roman" w:hAnsi="Times New Roman" w:cs="Times New Roman"/>
                <w:spacing w:val="-4"/>
                <w:sz w:val="24"/>
                <w:lang w:eastAsia="zh-CN"/>
              </w:rPr>
              <w:t>生态系统主要由旱地农业生态系统、村落生态系统、湖泊水库生态系统和灌丛林地生态系统相间组成，以旱地农业生态系统和村落生态系统为主。项目所在地主要以耕地为主，主要农作物为水稻。</w:t>
            </w:r>
          </w:p>
          <w:p w14:paraId="4E1823C3">
            <w:pPr>
              <w:pStyle w:val="23"/>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jc w:val="both"/>
              <w:textAlignment w:val="auto"/>
              <w:rPr>
                <w:rFonts w:hint="default" w:ascii="Times New Roman" w:hAnsi="Times New Roman" w:cs="Times New Roman"/>
                <w:spacing w:val="-4"/>
                <w:sz w:val="24"/>
                <w:lang w:val="en-US" w:eastAsia="zh-CN"/>
              </w:rPr>
            </w:pPr>
            <w:r>
              <w:rPr>
                <w:rFonts w:hint="default" w:ascii="Times New Roman" w:hAnsi="Times New Roman" w:eastAsia="宋体" w:cs="Times New Roman"/>
                <w:color w:val="auto"/>
                <w:sz w:val="24"/>
                <w:szCs w:val="24"/>
              </w:rPr>
              <w:t>植被主要以</w:t>
            </w:r>
            <w:r>
              <w:rPr>
                <w:rFonts w:hint="default" w:ascii="Times New Roman" w:hAnsi="Times New Roman" w:eastAsia="宋体" w:cs="Times New Roman"/>
                <w:color w:val="auto"/>
                <w:sz w:val="24"/>
                <w:szCs w:val="24"/>
                <w:lang w:eastAsia="zh-CN"/>
              </w:rPr>
              <w:t>马尾松</w:t>
            </w:r>
            <w:r>
              <w:rPr>
                <w:rFonts w:hint="default" w:ascii="Times New Roman" w:hAnsi="Times New Roman" w:eastAsia="宋体" w:cs="Times New Roman"/>
                <w:color w:val="auto"/>
                <w:sz w:val="24"/>
                <w:szCs w:val="24"/>
              </w:rPr>
              <w:t>、杉树、低矮灌木及荆棘植被为主</w:t>
            </w:r>
            <w:r>
              <w:rPr>
                <w:rFonts w:hint="default" w:ascii="Times New Roman" w:hAnsi="Times New Roman" w:cs="Times New Roman"/>
                <w:spacing w:val="-4"/>
                <w:sz w:val="24"/>
                <w:lang w:val="en-US" w:eastAsia="zh-CN"/>
              </w:rPr>
              <w:t>。</w:t>
            </w:r>
          </w:p>
          <w:p w14:paraId="1A48275F">
            <w:pPr>
              <w:pStyle w:val="23"/>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jc w:val="both"/>
              <w:textAlignment w:val="auto"/>
              <w:rPr>
                <w:rFonts w:hint="default" w:ascii="Times New Roman" w:hAnsi="Times New Roman" w:eastAsia="宋体" w:cs="Times New Roman"/>
                <w:spacing w:val="-4"/>
                <w:sz w:val="24"/>
                <w:lang w:val="en-US" w:eastAsia="zh-CN"/>
              </w:rPr>
            </w:pPr>
            <w:r>
              <w:rPr>
                <w:rFonts w:hint="default" w:ascii="Times New Roman" w:hAnsi="Times New Roman" w:eastAsia="宋体" w:cs="Times New Roman"/>
                <w:color w:val="auto"/>
                <w:sz w:val="24"/>
                <w:szCs w:val="24"/>
                <w:lang w:val="en-US" w:eastAsia="zh-CN"/>
              </w:rPr>
              <w:t>动物主要为</w:t>
            </w:r>
            <w:r>
              <w:rPr>
                <w:rFonts w:hint="default" w:ascii="Times New Roman" w:hAnsi="Times New Roman" w:eastAsia="宋体" w:cs="Times New Roman"/>
                <w:color w:val="auto"/>
                <w:sz w:val="24"/>
                <w:szCs w:val="24"/>
                <w:lang w:eastAsia="zh-CN"/>
              </w:rPr>
              <w:t>一些当地常见</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val="en-US" w:eastAsia="zh-CN"/>
              </w:rPr>
              <w:t>蛙类、蛇类、</w:t>
            </w:r>
            <w:r>
              <w:rPr>
                <w:rFonts w:hint="default" w:ascii="Times New Roman" w:hAnsi="Times New Roman" w:eastAsia="宋体" w:cs="Times New Roman"/>
                <w:color w:val="auto"/>
                <w:sz w:val="24"/>
                <w:szCs w:val="24"/>
              </w:rPr>
              <w:t>鸟类和小型兽类</w:t>
            </w:r>
            <w:r>
              <w:rPr>
                <w:rFonts w:hint="default" w:ascii="Times New Roman" w:hAnsi="Times New Roman" w:eastAsia="宋体" w:cs="Times New Roman"/>
                <w:color w:val="auto"/>
                <w:sz w:val="24"/>
                <w:szCs w:val="24"/>
                <w:lang w:eastAsia="zh-CN"/>
              </w:rPr>
              <w:t>。</w:t>
            </w:r>
          </w:p>
          <w:p w14:paraId="48DEDCBC">
            <w:pPr>
              <w:pStyle w:val="23"/>
              <w:keepNext w:val="0"/>
              <w:keepLines w:val="0"/>
              <w:pageBreakBefore w:val="0"/>
              <w:widowControl w:val="0"/>
              <w:kinsoku/>
              <w:wordWrap/>
              <w:overflowPunct/>
              <w:topLinePunct w:val="0"/>
              <w:autoSpaceDE w:val="0"/>
              <w:autoSpaceDN w:val="0"/>
              <w:bidi w:val="0"/>
              <w:adjustRightInd/>
              <w:snapToGrid/>
              <w:spacing w:line="360" w:lineRule="auto"/>
              <w:ind w:right="0" w:firstLine="464" w:firstLineChars="200"/>
              <w:jc w:val="both"/>
              <w:textAlignment w:val="auto"/>
              <w:rPr>
                <w:rFonts w:hint="default" w:ascii="Times New Roman" w:hAnsi="Times New Roman" w:cs="Times New Roman"/>
                <w:spacing w:val="-4"/>
                <w:sz w:val="24"/>
                <w:lang w:val="en-US" w:eastAsia="zh-CN"/>
              </w:rPr>
            </w:pPr>
            <w:r>
              <w:rPr>
                <w:rFonts w:hint="default" w:ascii="Times New Roman" w:hAnsi="Times New Roman" w:cs="Times New Roman"/>
                <w:spacing w:val="-4"/>
                <w:sz w:val="24"/>
                <w:lang w:val="en-US" w:eastAsia="zh-CN"/>
              </w:rPr>
              <w:t>水生生物主要为浮游生物、浮游动物、底栖动物、鱼类等。</w:t>
            </w:r>
          </w:p>
          <w:p w14:paraId="3DF1AC42">
            <w:pPr>
              <w:pageBreakBefore w:val="0"/>
              <w:widowControl w:val="0"/>
              <w:kinsoku/>
              <w:wordWrap/>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经调查，项目</w:t>
            </w:r>
            <w:r>
              <w:rPr>
                <w:rFonts w:hint="default" w:ascii="Times New Roman" w:hAnsi="Times New Roman" w:eastAsia="宋体" w:cs="Times New Roman"/>
                <w:sz w:val="24"/>
                <w:szCs w:val="24"/>
              </w:rPr>
              <w:t>施工期生态环境影响主要为部分矿区运输道路和排截水沟的修建及山顶剥离破坏了土地构型，破坏了植被，影响了自然景观。对施工过程中尽量减少对地表及植被的破坏，并及时进行恢复和补植。</w:t>
            </w:r>
          </w:p>
          <w:p w14:paraId="32D0A18A">
            <w:pPr>
              <w:pStyle w:val="23"/>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jc w:val="both"/>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szCs w:val="24"/>
              </w:rPr>
              <w:t>本项目在施工期的环境影响是短暂的、可逆的，随着施工期的结束而消失。严格按照有关规定采取上述措施进行污染防治，并加强环保监管，使本项目施工对周围环境的影响降低到最小</w:t>
            </w:r>
            <w:r>
              <w:rPr>
                <w:rFonts w:hint="default" w:ascii="Times New Roman" w:hAnsi="Times New Roman" w:cs="Times New Roman"/>
                <w:sz w:val="24"/>
                <w:lang w:val="en-US" w:eastAsia="zh-CN"/>
              </w:rPr>
              <w:t>。</w:t>
            </w:r>
          </w:p>
        </w:tc>
      </w:tr>
      <w:tr w14:paraId="3A36F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jc w:val="center"/>
        </w:trPr>
        <w:tc>
          <w:tcPr>
            <w:tcW w:w="256" w:type="pct"/>
            <w:vMerge w:val="continue"/>
            <w:noWrap w:val="0"/>
            <w:vAlign w:val="center"/>
          </w:tcPr>
          <w:p w14:paraId="60A28AA5">
            <w:pPr>
              <w:pStyle w:val="23"/>
              <w:jc w:val="center"/>
              <w:rPr>
                <w:rFonts w:hint="default" w:ascii="Times New Roman" w:hAnsi="Times New Roman" w:cs="Times New Roman"/>
                <w:sz w:val="24"/>
              </w:rPr>
            </w:pPr>
          </w:p>
        </w:tc>
        <w:tc>
          <w:tcPr>
            <w:tcW w:w="396" w:type="pct"/>
            <w:noWrap w:val="0"/>
            <w:vAlign w:val="center"/>
          </w:tcPr>
          <w:p w14:paraId="7C60B0CE">
            <w:pPr>
              <w:pStyle w:val="23"/>
              <w:jc w:val="center"/>
              <w:rPr>
                <w:rFonts w:hint="default" w:ascii="Times New Roman" w:hAnsi="Times New Roman" w:cs="Times New Roman"/>
                <w:sz w:val="24"/>
              </w:rPr>
            </w:pPr>
            <w:r>
              <w:rPr>
                <w:rFonts w:hint="default" w:ascii="Times New Roman" w:hAnsi="Times New Roman" w:cs="Times New Roman"/>
                <w:sz w:val="24"/>
              </w:rPr>
              <w:t>污</w:t>
            </w:r>
          </w:p>
          <w:p w14:paraId="34C23EE1">
            <w:pPr>
              <w:pStyle w:val="23"/>
              <w:jc w:val="center"/>
              <w:rPr>
                <w:rFonts w:hint="default" w:ascii="Times New Roman" w:hAnsi="Times New Roman" w:cs="Times New Roman"/>
                <w:sz w:val="24"/>
              </w:rPr>
            </w:pPr>
            <w:r>
              <w:rPr>
                <w:rFonts w:hint="default" w:ascii="Times New Roman" w:hAnsi="Times New Roman" w:cs="Times New Roman"/>
                <w:sz w:val="24"/>
              </w:rPr>
              <w:t>染</w:t>
            </w:r>
          </w:p>
          <w:p w14:paraId="08FAC307">
            <w:pPr>
              <w:pStyle w:val="23"/>
              <w:jc w:val="center"/>
              <w:rPr>
                <w:rFonts w:hint="default" w:ascii="Times New Roman" w:hAnsi="Times New Roman" w:cs="Times New Roman"/>
                <w:sz w:val="24"/>
              </w:rPr>
            </w:pPr>
            <w:r>
              <w:rPr>
                <w:rFonts w:hint="default" w:ascii="Times New Roman" w:hAnsi="Times New Roman" w:cs="Times New Roman"/>
                <w:sz w:val="24"/>
              </w:rPr>
              <w:t>影</w:t>
            </w:r>
          </w:p>
          <w:p w14:paraId="6AD3EF0A">
            <w:pPr>
              <w:pStyle w:val="23"/>
              <w:jc w:val="center"/>
              <w:rPr>
                <w:rFonts w:hint="default" w:ascii="Times New Roman" w:hAnsi="Times New Roman" w:cs="Times New Roman"/>
                <w:b/>
                <w:sz w:val="24"/>
              </w:rPr>
            </w:pPr>
            <w:r>
              <w:rPr>
                <w:rFonts w:hint="default" w:ascii="Times New Roman" w:hAnsi="Times New Roman" w:cs="Times New Roman"/>
                <w:sz w:val="24"/>
              </w:rPr>
              <w:t>响</w:t>
            </w:r>
          </w:p>
        </w:tc>
        <w:tc>
          <w:tcPr>
            <w:tcW w:w="4347" w:type="pct"/>
            <w:noWrap w:val="0"/>
            <w:vAlign w:val="top"/>
          </w:tcPr>
          <w:p w14:paraId="016D2189">
            <w:pPr>
              <w:pStyle w:val="23"/>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经调查，项目施工过程中施工现场及运输道路洒水抑尘</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运输车辆采用篷布遮盖，设置洗车槽对车辆轮胎进行清洗等来降低废气对环境的影响。</w:t>
            </w:r>
            <w:r>
              <w:rPr>
                <w:rFonts w:hint="default" w:ascii="Times New Roman" w:hAnsi="Times New Roman" w:cs="Times New Roman"/>
                <w:sz w:val="24"/>
                <w:szCs w:val="24"/>
              </w:rPr>
              <w:t>施工期</w:t>
            </w:r>
            <w:r>
              <w:rPr>
                <w:rFonts w:hint="default" w:ascii="Times New Roman" w:hAnsi="Times New Roman" w:cs="Times New Roman"/>
                <w:sz w:val="24"/>
                <w:szCs w:val="24"/>
                <w:lang w:val="en-US" w:eastAsia="zh-CN"/>
              </w:rPr>
              <w:t>施工废水经沉淀池处理后回用</w:t>
            </w:r>
            <w:r>
              <w:rPr>
                <w:rFonts w:hint="default" w:ascii="Times New Roman" w:hAnsi="Times New Roman" w:cs="Times New Roman"/>
                <w:sz w:val="24"/>
                <w:szCs w:val="24"/>
                <w:lang w:eastAsia="zh-CN"/>
              </w:rPr>
              <w:t>；</w:t>
            </w:r>
            <w:r>
              <w:rPr>
                <w:rFonts w:hint="default" w:ascii="Times New Roman" w:hAnsi="Times New Roman" w:cs="Times New Roman"/>
                <w:sz w:val="24"/>
                <w:szCs w:val="24"/>
              </w:rPr>
              <w:t>施工期生活污水经</w:t>
            </w:r>
            <w:r>
              <w:rPr>
                <w:rFonts w:hint="eastAsia" w:ascii="Times New Roman" w:hAnsi="Times New Roman" w:cs="Times New Roman"/>
                <w:sz w:val="24"/>
                <w:szCs w:val="24"/>
                <w:lang w:val="en-US" w:eastAsia="zh-CN"/>
              </w:rPr>
              <w:t>一体化污水处理设备</w:t>
            </w:r>
            <w:r>
              <w:rPr>
                <w:rFonts w:hint="default" w:ascii="Times New Roman" w:hAnsi="Times New Roman" w:cs="Times New Roman"/>
                <w:sz w:val="24"/>
                <w:szCs w:val="24"/>
              </w:rPr>
              <w:t>处理后用于</w:t>
            </w:r>
            <w:r>
              <w:rPr>
                <w:rFonts w:hint="eastAsia" w:ascii="Times New Roman" w:hAnsi="Times New Roman" w:cs="Times New Roman"/>
                <w:sz w:val="24"/>
                <w:szCs w:val="24"/>
                <w:lang w:val="en-US" w:eastAsia="zh-CN"/>
              </w:rPr>
              <w:t>生产</w:t>
            </w:r>
            <w:r>
              <w:rPr>
                <w:rFonts w:hint="default" w:ascii="Times New Roman" w:hAnsi="Times New Roman" w:cs="Times New Roman"/>
                <w:sz w:val="24"/>
                <w:szCs w:val="24"/>
              </w:rPr>
              <w:t>，不外排</w:t>
            </w:r>
            <w:r>
              <w:rPr>
                <w:rFonts w:hint="default" w:ascii="Times New Roman" w:hAnsi="Times New Roman" w:cs="Times New Roman"/>
                <w:sz w:val="24"/>
                <w:lang w:val="en-US" w:eastAsia="zh-CN"/>
              </w:rPr>
              <w:t>。选用低噪声设备，对施工设备及时维护保养，确保正常运行，合理布局，同时禁止夜间施工，限制车速以及禁止鸣笛标识牌，加强运输车辆的检修等来降低噪声对周围环境的影响。</w:t>
            </w:r>
            <w:r>
              <w:rPr>
                <w:rFonts w:hint="default" w:ascii="Times New Roman" w:hAnsi="Times New Roman" w:eastAsia="宋体" w:cs="Times New Roman"/>
                <w:color w:val="auto"/>
                <w:sz w:val="24"/>
                <w:szCs w:val="24"/>
                <w:lang w:eastAsia="zh-CN"/>
              </w:rPr>
              <w:t>施工人员的生活垃圾定点堆放，定时清运至环卫部门指定的垃圾处理场或卫生填埋场统一处置；建筑垃圾尽量回用于其他建设工程，不可利用的与当地市容局渣土办联系外运；剥离表土及风化层及时利用自卸汽车运送至排土场进行综合利用；对施工过程中余土应尽量加以利用或妥善处理，不随意堆放，尽量减少对地表植被的破坏，并及时进行恢复和补植。</w:t>
            </w:r>
          </w:p>
          <w:p w14:paraId="2D347D94">
            <w:pPr>
              <w:pStyle w:val="23"/>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jc w:val="both"/>
              <w:textAlignment w:val="auto"/>
              <w:rPr>
                <w:rFonts w:hint="default" w:ascii="Times New Roman" w:hAnsi="Times New Roman" w:cs="Times New Roman"/>
                <w:spacing w:val="-4"/>
                <w:sz w:val="24"/>
              </w:rPr>
            </w:pPr>
            <w:r>
              <w:rPr>
                <w:rFonts w:hint="default" w:ascii="Times New Roman" w:hAnsi="Times New Roman" w:cs="Times New Roman"/>
                <w:sz w:val="24"/>
              </w:rPr>
              <w:t>施工</w:t>
            </w:r>
            <w:r>
              <w:rPr>
                <w:rFonts w:hint="default" w:ascii="Times New Roman" w:hAnsi="Times New Roman" w:cs="Times New Roman"/>
                <w:sz w:val="24"/>
                <w:lang w:val="en-US" w:eastAsia="zh-CN"/>
              </w:rPr>
              <w:t>期</w:t>
            </w:r>
            <w:r>
              <w:rPr>
                <w:rFonts w:hint="default" w:ascii="Times New Roman" w:hAnsi="Times New Roman" w:cs="Times New Roman"/>
                <w:sz w:val="24"/>
              </w:rPr>
              <w:t>污染均随施工结束而消失。</w:t>
            </w:r>
          </w:p>
        </w:tc>
      </w:tr>
      <w:tr w14:paraId="460EB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jc w:val="center"/>
        </w:trPr>
        <w:tc>
          <w:tcPr>
            <w:tcW w:w="256" w:type="pct"/>
            <w:vMerge w:val="continue"/>
            <w:noWrap w:val="0"/>
            <w:vAlign w:val="center"/>
          </w:tcPr>
          <w:p w14:paraId="1725F68B">
            <w:pPr>
              <w:pStyle w:val="23"/>
              <w:jc w:val="center"/>
              <w:rPr>
                <w:rFonts w:hint="default" w:ascii="Times New Roman" w:hAnsi="Times New Roman" w:cs="Times New Roman"/>
                <w:b/>
                <w:sz w:val="28"/>
              </w:rPr>
            </w:pPr>
          </w:p>
        </w:tc>
        <w:tc>
          <w:tcPr>
            <w:tcW w:w="396" w:type="pct"/>
            <w:noWrap w:val="0"/>
            <w:vAlign w:val="center"/>
          </w:tcPr>
          <w:p w14:paraId="7874AB3A">
            <w:pPr>
              <w:pStyle w:val="23"/>
              <w:jc w:val="center"/>
              <w:rPr>
                <w:rFonts w:hint="default" w:ascii="Times New Roman" w:hAnsi="Times New Roman" w:cs="Times New Roman"/>
                <w:sz w:val="24"/>
              </w:rPr>
            </w:pPr>
            <w:r>
              <w:rPr>
                <w:rFonts w:hint="default" w:ascii="Times New Roman" w:hAnsi="Times New Roman" w:cs="Times New Roman"/>
                <w:sz w:val="24"/>
              </w:rPr>
              <w:t>社</w:t>
            </w:r>
          </w:p>
          <w:p w14:paraId="797E5D73">
            <w:pPr>
              <w:pStyle w:val="23"/>
              <w:jc w:val="center"/>
              <w:rPr>
                <w:rFonts w:hint="default" w:ascii="Times New Roman" w:hAnsi="Times New Roman" w:cs="Times New Roman"/>
                <w:sz w:val="24"/>
              </w:rPr>
            </w:pPr>
            <w:r>
              <w:rPr>
                <w:rFonts w:hint="default" w:ascii="Times New Roman" w:hAnsi="Times New Roman" w:cs="Times New Roman"/>
                <w:sz w:val="24"/>
              </w:rPr>
              <w:t>会</w:t>
            </w:r>
          </w:p>
          <w:p w14:paraId="68FA0A5B">
            <w:pPr>
              <w:pStyle w:val="23"/>
              <w:jc w:val="center"/>
              <w:rPr>
                <w:rFonts w:hint="default" w:ascii="Times New Roman" w:hAnsi="Times New Roman" w:cs="Times New Roman"/>
                <w:sz w:val="24"/>
              </w:rPr>
            </w:pPr>
            <w:r>
              <w:rPr>
                <w:rFonts w:hint="default" w:ascii="Times New Roman" w:hAnsi="Times New Roman" w:cs="Times New Roman"/>
                <w:sz w:val="24"/>
              </w:rPr>
              <w:t>环</w:t>
            </w:r>
          </w:p>
          <w:p w14:paraId="0B00DFE8">
            <w:pPr>
              <w:pStyle w:val="23"/>
              <w:jc w:val="center"/>
              <w:rPr>
                <w:rFonts w:hint="default" w:ascii="Times New Roman" w:hAnsi="Times New Roman" w:cs="Times New Roman"/>
                <w:sz w:val="24"/>
              </w:rPr>
            </w:pPr>
            <w:r>
              <w:rPr>
                <w:rFonts w:hint="default" w:ascii="Times New Roman" w:hAnsi="Times New Roman" w:cs="Times New Roman"/>
                <w:sz w:val="24"/>
              </w:rPr>
              <w:t>境</w:t>
            </w:r>
          </w:p>
        </w:tc>
        <w:tc>
          <w:tcPr>
            <w:tcW w:w="4347" w:type="pct"/>
            <w:noWrap w:val="0"/>
            <w:vAlign w:val="top"/>
          </w:tcPr>
          <w:p w14:paraId="75B007B9">
            <w:pPr>
              <w:pStyle w:val="23"/>
              <w:keepNext w:val="0"/>
              <w:keepLines w:val="0"/>
              <w:pageBreakBefore w:val="0"/>
              <w:widowControl w:val="0"/>
              <w:kinsoku/>
              <w:wordWrap/>
              <w:overflowPunct/>
              <w:topLinePunct w:val="0"/>
              <w:autoSpaceDE w:val="0"/>
              <w:autoSpaceDN w:val="0"/>
              <w:bidi w:val="0"/>
              <w:adjustRightInd/>
              <w:snapToGrid/>
              <w:spacing w:line="364" w:lineRule="auto"/>
              <w:ind w:right="0" w:firstLine="480" w:firstLineChars="200"/>
              <w:jc w:val="both"/>
              <w:textAlignment w:val="auto"/>
              <w:rPr>
                <w:rFonts w:hint="default" w:ascii="Times New Roman" w:hAnsi="Times New Roman" w:eastAsia="宋体" w:cs="Times New Roman"/>
                <w:sz w:val="24"/>
                <w:lang w:val="en-US" w:eastAsia="zh-CN"/>
              </w:rPr>
            </w:pPr>
            <w:r>
              <w:rPr>
                <w:rFonts w:hint="default" w:ascii="Times New Roman" w:hAnsi="Times New Roman" w:cs="Times New Roman"/>
                <w:sz w:val="24"/>
              </w:rPr>
              <w:t>验收调查期间，我们询问了周边部分村民，村民表示项目在施工期基本做到了上述措施，无扰民纠纷和噪声投诉现象发生</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项目建设带动了当地的经济繁荣与发展，起到了良好的社会效应。</w:t>
            </w:r>
          </w:p>
        </w:tc>
      </w:tr>
      <w:tr w14:paraId="63243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256" w:type="pct"/>
            <w:vMerge w:val="restart"/>
            <w:noWrap w:val="0"/>
            <w:vAlign w:val="center"/>
          </w:tcPr>
          <w:p w14:paraId="75B87239">
            <w:pPr>
              <w:pStyle w:val="23"/>
              <w:jc w:val="center"/>
              <w:rPr>
                <w:rFonts w:hint="default" w:ascii="Times New Roman" w:hAnsi="Times New Roman" w:cs="Times New Roman"/>
                <w:sz w:val="28"/>
              </w:rPr>
            </w:pPr>
            <w:r>
              <w:rPr>
                <w:rFonts w:hint="default" w:ascii="Times New Roman" w:hAnsi="Times New Roman" w:cs="Times New Roman"/>
                <w:sz w:val="28"/>
              </w:rPr>
              <w:t>运营期</w:t>
            </w:r>
          </w:p>
        </w:tc>
        <w:tc>
          <w:tcPr>
            <w:tcW w:w="396" w:type="pct"/>
            <w:noWrap w:val="0"/>
            <w:vAlign w:val="center"/>
          </w:tcPr>
          <w:p w14:paraId="0B1843C3">
            <w:pPr>
              <w:pStyle w:val="23"/>
              <w:jc w:val="center"/>
              <w:rPr>
                <w:rFonts w:hint="default" w:ascii="Times New Roman" w:hAnsi="Times New Roman" w:cs="Times New Roman"/>
                <w:sz w:val="24"/>
              </w:rPr>
            </w:pPr>
            <w:r>
              <w:rPr>
                <w:rFonts w:hint="default" w:ascii="Times New Roman" w:hAnsi="Times New Roman" w:cs="Times New Roman"/>
                <w:sz w:val="24"/>
              </w:rPr>
              <w:t>生</w:t>
            </w:r>
          </w:p>
          <w:p w14:paraId="5369CE02">
            <w:pPr>
              <w:pStyle w:val="23"/>
              <w:jc w:val="center"/>
              <w:rPr>
                <w:rFonts w:hint="default" w:ascii="Times New Roman" w:hAnsi="Times New Roman" w:cs="Times New Roman"/>
                <w:sz w:val="24"/>
              </w:rPr>
            </w:pPr>
            <w:r>
              <w:rPr>
                <w:rFonts w:hint="default" w:ascii="Times New Roman" w:hAnsi="Times New Roman" w:cs="Times New Roman"/>
                <w:sz w:val="24"/>
              </w:rPr>
              <w:t>态</w:t>
            </w:r>
          </w:p>
          <w:p w14:paraId="1ADB73F2">
            <w:pPr>
              <w:pStyle w:val="23"/>
              <w:jc w:val="center"/>
              <w:rPr>
                <w:rFonts w:hint="default" w:ascii="Times New Roman" w:hAnsi="Times New Roman" w:cs="Times New Roman"/>
                <w:sz w:val="24"/>
              </w:rPr>
            </w:pPr>
            <w:r>
              <w:rPr>
                <w:rFonts w:hint="default" w:ascii="Times New Roman" w:hAnsi="Times New Roman" w:cs="Times New Roman"/>
                <w:sz w:val="24"/>
              </w:rPr>
              <w:t>影</w:t>
            </w:r>
          </w:p>
          <w:p w14:paraId="0880AC0C">
            <w:pPr>
              <w:pStyle w:val="23"/>
              <w:jc w:val="center"/>
              <w:rPr>
                <w:rFonts w:hint="default" w:ascii="Times New Roman" w:hAnsi="Times New Roman" w:cs="Times New Roman"/>
                <w:sz w:val="24"/>
              </w:rPr>
            </w:pPr>
            <w:r>
              <w:rPr>
                <w:rFonts w:hint="default" w:ascii="Times New Roman" w:hAnsi="Times New Roman" w:cs="Times New Roman"/>
                <w:sz w:val="24"/>
              </w:rPr>
              <w:t>响</w:t>
            </w:r>
          </w:p>
        </w:tc>
        <w:tc>
          <w:tcPr>
            <w:tcW w:w="4347" w:type="pct"/>
            <w:noWrap w:val="0"/>
            <w:vAlign w:val="top"/>
          </w:tcPr>
          <w:p w14:paraId="3F255C74">
            <w:pPr>
              <w:pStyle w:val="23"/>
              <w:keepNext w:val="0"/>
              <w:keepLines w:val="0"/>
              <w:pageBreakBefore w:val="0"/>
              <w:widowControl w:val="0"/>
              <w:kinsoku/>
              <w:wordWrap/>
              <w:overflowPunct/>
              <w:topLinePunct w:val="0"/>
              <w:autoSpaceDE w:val="0"/>
              <w:autoSpaceDN w:val="0"/>
              <w:bidi w:val="0"/>
              <w:adjustRightInd/>
              <w:snapToGrid/>
              <w:spacing w:line="364" w:lineRule="auto"/>
              <w:ind w:right="0" w:firstLine="480" w:firstLineChars="200"/>
              <w:jc w:val="both"/>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根据现场调查，运营期对生态环境的影响主要为</w:t>
            </w:r>
            <w:r>
              <w:rPr>
                <w:rFonts w:hint="default" w:ascii="Times New Roman" w:hAnsi="Times New Roman" w:eastAsia="宋体" w:cs="Times New Roman"/>
                <w:color w:val="auto"/>
                <w:sz w:val="24"/>
                <w:szCs w:val="24"/>
                <w:lang w:val="en-US" w:eastAsia="zh-CN" w:bidi="zh-CN"/>
              </w:rPr>
              <w:t>在矿山开采、道路修建及</w:t>
            </w:r>
            <w:r>
              <w:rPr>
                <w:rFonts w:hint="default" w:ascii="Times New Roman" w:hAnsi="Times New Roman" w:eastAsia="宋体" w:cs="Times New Roman"/>
                <w:color w:val="000000"/>
                <w:sz w:val="24"/>
                <w:szCs w:val="24"/>
              </w:rPr>
              <w:t>其他辅助设施</w:t>
            </w:r>
            <w:r>
              <w:rPr>
                <w:rFonts w:hint="default" w:ascii="Times New Roman" w:hAnsi="Times New Roman" w:eastAsia="宋体" w:cs="Times New Roman"/>
                <w:color w:val="000000"/>
                <w:sz w:val="24"/>
                <w:szCs w:val="24"/>
                <w:lang w:val="en-US" w:eastAsia="zh-CN"/>
              </w:rPr>
              <w:t>建设过程中</w:t>
            </w:r>
            <w:r>
              <w:rPr>
                <w:rFonts w:hint="default" w:ascii="Times New Roman" w:hAnsi="Times New Roman" w:eastAsia="宋体" w:cs="Times New Roman"/>
                <w:color w:val="auto"/>
                <w:sz w:val="24"/>
                <w:szCs w:val="24"/>
              </w:rPr>
              <w:t>破坏了土地构型，植被被破坏，雨水侵蚀致使土壤流失，土层变薄，土壤发生层次缺失，导致表土裸露，局部蓄水固土的功能将丧失，从而导致水土流失</w:t>
            </w:r>
            <w:r>
              <w:rPr>
                <w:rFonts w:hint="default" w:ascii="Times New Roman" w:hAnsi="Times New Roman" w:cs="Times New Roman"/>
                <w:sz w:val="24"/>
                <w:lang w:val="en-US" w:eastAsia="zh-CN"/>
              </w:rPr>
              <w:t>。</w:t>
            </w:r>
            <w:r>
              <w:rPr>
                <w:rFonts w:hint="default" w:ascii="Times New Roman" w:hAnsi="Times New Roman" w:eastAsia="宋体" w:cs="Times New Roman"/>
                <w:color w:val="auto"/>
                <w:sz w:val="24"/>
                <w:szCs w:val="24"/>
                <w:lang w:val="zh-CN" w:eastAsia="zh-CN" w:bidi="zh-CN"/>
              </w:rPr>
              <w:t>人为活动的增加对</w:t>
            </w:r>
            <w:r>
              <w:rPr>
                <w:rFonts w:hint="default" w:ascii="Times New Roman" w:hAnsi="Times New Roman" w:eastAsia="宋体" w:cs="Times New Roman"/>
                <w:color w:val="auto"/>
                <w:sz w:val="24"/>
                <w:szCs w:val="24"/>
                <w:lang w:val="en-US" w:eastAsia="zh-CN" w:bidi="zh-CN"/>
              </w:rPr>
              <w:t>动植物环境</w:t>
            </w:r>
            <w:r>
              <w:rPr>
                <w:rFonts w:hint="default" w:ascii="Times New Roman" w:hAnsi="Times New Roman" w:eastAsia="宋体" w:cs="Times New Roman"/>
                <w:color w:val="auto"/>
                <w:sz w:val="24"/>
                <w:szCs w:val="24"/>
                <w:lang w:val="zh-CN" w:eastAsia="zh-CN" w:bidi="zh-CN"/>
              </w:rPr>
              <w:t>的</w:t>
            </w:r>
            <w:r>
              <w:rPr>
                <w:rFonts w:hint="default" w:ascii="Times New Roman" w:hAnsi="Times New Roman" w:eastAsia="宋体" w:cs="Times New Roman"/>
                <w:color w:val="auto"/>
                <w:sz w:val="24"/>
                <w:szCs w:val="24"/>
                <w:lang w:val="en-US" w:eastAsia="zh-CN" w:bidi="zh-CN"/>
              </w:rPr>
              <w:t>影响和</w:t>
            </w:r>
            <w:r>
              <w:rPr>
                <w:rFonts w:hint="default" w:ascii="Times New Roman" w:hAnsi="Times New Roman" w:eastAsia="宋体" w:cs="Times New Roman"/>
                <w:color w:val="auto"/>
                <w:sz w:val="24"/>
                <w:szCs w:val="24"/>
                <w:lang w:val="zh-CN" w:eastAsia="zh-CN" w:bidi="zh-CN"/>
              </w:rPr>
              <w:t>破坏。</w:t>
            </w:r>
          </w:p>
          <w:p w14:paraId="642BBF08">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水土流失的防治措施主要为开采区</w:t>
            </w:r>
            <w:r>
              <w:rPr>
                <w:rFonts w:hint="default" w:ascii="Times New Roman" w:hAnsi="Times New Roman" w:eastAsia="宋体" w:cs="Times New Roman"/>
                <w:color w:val="000000"/>
                <w:sz w:val="24"/>
                <w:szCs w:val="24"/>
              </w:rPr>
              <w:t>进行表土剥离及表土回覆，开采期间</w:t>
            </w:r>
            <w:r>
              <w:rPr>
                <w:rFonts w:hint="default" w:ascii="Times New Roman" w:hAnsi="Times New Roman" w:eastAsia="宋体" w:cs="Times New Roman"/>
                <w:color w:val="000000"/>
                <w:sz w:val="24"/>
                <w:szCs w:val="24"/>
                <w:lang w:val="en-US" w:eastAsia="zh-CN"/>
              </w:rPr>
              <w:t>设置</w:t>
            </w:r>
            <w:r>
              <w:rPr>
                <w:rFonts w:hint="default" w:ascii="Times New Roman" w:hAnsi="Times New Roman" w:eastAsia="宋体" w:cs="Times New Roman"/>
                <w:color w:val="000000"/>
                <w:sz w:val="24"/>
                <w:szCs w:val="24"/>
              </w:rPr>
              <w:t>施工道路边坡防护及道路边沟。这些措施可起到一定水土保持作用，但未考虑防止降雨对采区的冲刷，造成水土流失，在采区上游有汇水侧设计截水沟，用于拦截雨水，出口设置</w:t>
            </w:r>
            <w:r>
              <w:rPr>
                <w:rFonts w:hint="default" w:ascii="Times New Roman" w:hAnsi="Times New Roman" w:eastAsia="宋体" w:cs="Times New Roman"/>
                <w:color w:val="000000"/>
                <w:sz w:val="24"/>
                <w:szCs w:val="24"/>
                <w:lang w:val="en-US" w:eastAsia="zh-CN"/>
              </w:rPr>
              <w:t>沉砂</w:t>
            </w:r>
            <w:r>
              <w:rPr>
                <w:rFonts w:hint="default" w:ascii="Times New Roman" w:hAnsi="Times New Roman" w:eastAsia="宋体" w:cs="Times New Roman"/>
                <w:color w:val="000000"/>
                <w:sz w:val="24"/>
                <w:szCs w:val="24"/>
              </w:rPr>
              <w:t>池；平台及宕底设计排水沟措施、植被回覆措施；</w:t>
            </w:r>
            <w:r>
              <w:rPr>
                <w:rFonts w:hint="default" w:ascii="Times New Roman" w:hAnsi="Times New Roman" w:eastAsia="宋体" w:cs="Times New Roman"/>
                <w:color w:val="000000"/>
                <w:sz w:val="24"/>
                <w:szCs w:val="24"/>
                <w:lang w:val="en-US" w:eastAsia="zh-CN"/>
              </w:rPr>
              <w:t>实施边开采边复绿</w:t>
            </w:r>
            <w:r>
              <w:rPr>
                <w:rFonts w:hint="default" w:ascii="Times New Roman" w:hAnsi="Times New Roman" w:eastAsia="宋体" w:cs="Times New Roman"/>
                <w:color w:val="000000"/>
                <w:sz w:val="24"/>
                <w:szCs w:val="24"/>
              </w:rPr>
              <w:t>的绿化措施</w:t>
            </w:r>
            <w:r>
              <w:rPr>
                <w:rFonts w:hint="default" w:ascii="Times New Roman" w:hAnsi="Times New Roman" w:cs="Times New Roman"/>
                <w:sz w:val="24"/>
                <w:lang w:val="zh-CN" w:eastAsia="zh-CN"/>
              </w:rPr>
              <w:t>。</w:t>
            </w:r>
            <w:r>
              <w:rPr>
                <w:rFonts w:hint="default" w:ascii="Times New Roman" w:hAnsi="Times New Roman" w:cs="Times New Roman"/>
                <w:sz w:val="24"/>
                <w:lang w:val="en-US" w:eastAsia="zh-CN"/>
              </w:rPr>
              <w:t>加工系统区在</w:t>
            </w:r>
            <w:r>
              <w:rPr>
                <w:rFonts w:hint="default" w:ascii="Times New Roman" w:hAnsi="Times New Roman" w:eastAsia="宋体" w:cs="Times New Roman"/>
                <w:color w:val="000000"/>
                <w:sz w:val="24"/>
                <w:szCs w:val="24"/>
              </w:rPr>
              <w:t>开采结束后，对工业场地进行清理，拆除机械设备后，清除场地硬化及建筑垃圾。新增土地平整、硬化层清除后覆土绿化措施</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办公生活区在</w:t>
            </w:r>
            <w:r>
              <w:rPr>
                <w:rFonts w:hint="default" w:ascii="Times New Roman" w:hAnsi="Times New Roman" w:eastAsia="宋体" w:cs="Times New Roman"/>
                <w:color w:val="000000"/>
                <w:sz w:val="24"/>
                <w:szCs w:val="24"/>
              </w:rPr>
              <w:t>开采结束后，对办公生活区进行清理，拆除建筑物后，清除办公场地硬化及建筑垃圾。新增土地平整、硬化层清除后覆土绿化措施</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野生动植物保护措施主要为</w:t>
            </w:r>
            <w:r>
              <w:rPr>
                <w:rFonts w:hint="default" w:ascii="Times New Roman" w:hAnsi="Times New Roman" w:eastAsia="宋体" w:cs="Times New Roman"/>
                <w:color w:val="000000"/>
                <w:sz w:val="24"/>
                <w:szCs w:val="24"/>
              </w:rPr>
              <w:t>加强生产管理和职工的生态环保宣传教育，严禁随意开辟便道，禁止所有人员随意进入非工程用地区域活动，踩踏破坏植被，破坏地表生态，严禁捕杀野生动物。</w:t>
            </w:r>
            <w:r>
              <w:rPr>
                <w:rFonts w:hint="default" w:ascii="Times New Roman" w:hAnsi="Times New Roman" w:eastAsia="宋体" w:cs="Times New Roman"/>
                <w:b w:val="0"/>
                <w:bCs w:val="0"/>
                <w:color w:val="auto"/>
                <w:spacing w:val="0"/>
                <w:kern w:val="2"/>
                <w:sz w:val="24"/>
                <w:szCs w:val="24"/>
                <w:lang w:val="en-US" w:eastAsia="zh-CN" w:bidi="ar-SA"/>
              </w:rPr>
              <w:t>复垦措施主要为</w:t>
            </w:r>
            <w:r>
              <w:rPr>
                <w:rFonts w:hint="default" w:ascii="Times New Roman" w:hAnsi="Times New Roman" w:cs="Times New Roman"/>
                <w:color w:val="auto"/>
                <w:sz w:val="24"/>
                <w:szCs w:val="24"/>
              </w:rPr>
              <w:t>矿山闭坑后，将遗留废弃建筑物，地面有一定厚度的固化物，</w:t>
            </w:r>
            <w:r>
              <w:rPr>
                <w:rFonts w:hint="default" w:ascii="Times New Roman" w:hAnsi="Times New Roman" w:cs="Times New Roman"/>
                <w:color w:val="auto"/>
                <w:sz w:val="24"/>
                <w:szCs w:val="24"/>
                <w:lang w:val="en-US" w:eastAsia="zh-CN"/>
              </w:rPr>
              <w:t>将</w:t>
            </w:r>
            <w:r>
              <w:rPr>
                <w:rFonts w:hint="default" w:ascii="Times New Roman" w:hAnsi="Times New Roman" w:cs="Times New Roman"/>
                <w:color w:val="auto"/>
                <w:sz w:val="24"/>
                <w:szCs w:val="24"/>
              </w:rPr>
              <w:t>对地表建筑物或固化物进行拆除、清理，保证场地平整，以便于其他复垦措施的实施</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土地平整</w:t>
            </w:r>
            <w:r>
              <w:rPr>
                <w:rFonts w:hint="default" w:ascii="Times New Roman" w:hAnsi="Times New Roman" w:cs="Times New Roman"/>
                <w:color w:val="auto"/>
                <w:sz w:val="24"/>
                <w:szCs w:val="24"/>
                <w:lang w:val="en-US" w:eastAsia="zh-CN"/>
              </w:rPr>
              <w:t>将</w:t>
            </w:r>
            <w:r>
              <w:rPr>
                <w:rFonts w:hint="default" w:ascii="Times New Roman" w:hAnsi="Times New Roman" w:cs="Times New Roman"/>
                <w:color w:val="auto"/>
                <w:sz w:val="24"/>
                <w:szCs w:val="24"/>
              </w:rPr>
              <w:t>根据项目区地形特点、土地利用方向、灌溉以及防治水土流失等要求，进行土地平整工程设计</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由于矿区开采将使原地面植物遭到一定程度的损毁，在土壤贫瘠区域依靠自然恢复较困难，所以要快速恢复植被，首先是筛选先锋植物，同时要筛选适宜的适生植物以重建人工生态系统。</w:t>
            </w:r>
          </w:p>
        </w:tc>
      </w:tr>
      <w:tr w14:paraId="3860D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2" w:hRule="atLeast"/>
          <w:jc w:val="center"/>
        </w:trPr>
        <w:tc>
          <w:tcPr>
            <w:tcW w:w="256" w:type="pct"/>
            <w:vMerge w:val="continue"/>
            <w:noWrap w:val="0"/>
            <w:vAlign w:val="center"/>
          </w:tcPr>
          <w:p w14:paraId="78EC10D2">
            <w:pPr>
              <w:pStyle w:val="23"/>
              <w:jc w:val="center"/>
              <w:rPr>
                <w:rFonts w:hint="default" w:ascii="Times New Roman" w:hAnsi="Times New Roman" w:cs="Times New Roman"/>
                <w:sz w:val="28"/>
              </w:rPr>
            </w:pPr>
          </w:p>
        </w:tc>
        <w:tc>
          <w:tcPr>
            <w:tcW w:w="396" w:type="pct"/>
            <w:noWrap w:val="0"/>
            <w:vAlign w:val="center"/>
          </w:tcPr>
          <w:p w14:paraId="4A3086EE">
            <w:pPr>
              <w:pStyle w:val="23"/>
              <w:jc w:val="center"/>
              <w:rPr>
                <w:rFonts w:hint="default" w:ascii="Times New Roman" w:hAnsi="Times New Roman" w:cs="Times New Roman"/>
                <w:sz w:val="24"/>
              </w:rPr>
            </w:pPr>
            <w:r>
              <w:rPr>
                <w:rFonts w:hint="default" w:ascii="Times New Roman" w:hAnsi="Times New Roman" w:cs="Times New Roman"/>
                <w:sz w:val="24"/>
              </w:rPr>
              <w:t>污</w:t>
            </w:r>
          </w:p>
          <w:p w14:paraId="384CB021">
            <w:pPr>
              <w:pStyle w:val="23"/>
              <w:jc w:val="center"/>
              <w:rPr>
                <w:rFonts w:hint="default" w:ascii="Times New Roman" w:hAnsi="Times New Roman" w:cs="Times New Roman"/>
                <w:sz w:val="24"/>
              </w:rPr>
            </w:pPr>
            <w:r>
              <w:rPr>
                <w:rFonts w:hint="default" w:ascii="Times New Roman" w:hAnsi="Times New Roman" w:cs="Times New Roman"/>
                <w:sz w:val="24"/>
              </w:rPr>
              <w:t>染</w:t>
            </w:r>
          </w:p>
          <w:p w14:paraId="2D600DB3">
            <w:pPr>
              <w:pStyle w:val="23"/>
              <w:jc w:val="center"/>
              <w:rPr>
                <w:rFonts w:hint="default" w:ascii="Times New Roman" w:hAnsi="Times New Roman" w:cs="Times New Roman"/>
                <w:sz w:val="24"/>
              </w:rPr>
            </w:pPr>
            <w:r>
              <w:rPr>
                <w:rFonts w:hint="default" w:ascii="Times New Roman" w:hAnsi="Times New Roman" w:cs="Times New Roman"/>
                <w:sz w:val="24"/>
              </w:rPr>
              <w:t>影</w:t>
            </w:r>
          </w:p>
          <w:p w14:paraId="4DDCEC49">
            <w:pPr>
              <w:pStyle w:val="23"/>
              <w:jc w:val="center"/>
              <w:rPr>
                <w:rFonts w:hint="default" w:ascii="Times New Roman" w:hAnsi="Times New Roman" w:cs="Times New Roman"/>
                <w:b/>
                <w:sz w:val="24"/>
              </w:rPr>
            </w:pPr>
            <w:r>
              <w:rPr>
                <w:rFonts w:hint="default" w:ascii="Times New Roman" w:hAnsi="Times New Roman" w:cs="Times New Roman"/>
                <w:sz w:val="24"/>
              </w:rPr>
              <w:t>响</w:t>
            </w:r>
          </w:p>
        </w:tc>
        <w:tc>
          <w:tcPr>
            <w:tcW w:w="4347" w:type="pct"/>
            <w:noWrap w:val="0"/>
            <w:vAlign w:val="top"/>
          </w:tcPr>
          <w:p w14:paraId="6C011D55">
            <w:pPr>
              <w:pStyle w:val="23"/>
              <w:spacing w:line="360" w:lineRule="auto"/>
              <w:jc w:val="both"/>
              <w:rPr>
                <w:rFonts w:hint="default" w:ascii="Times New Roman" w:hAnsi="Times New Roman" w:cs="Times New Roman"/>
                <w:b/>
                <w:sz w:val="24"/>
              </w:rPr>
            </w:pPr>
            <w:r>
              <w:rPr>
                <w:rFonts w:hint="eastAsia" w:cs="Times New Roman"/>
                <w:b/>
                <w:sz w:val="24"/>
                <w:lang w:val="en-US" w:eastAsia="zh-CN"/>
              </w:rPr>
              <w:t>（一）</w:t>
            </w:r>
            <w:r>
              <w:rPr>
                <w:rFonts w:hint="default" w:ascii="Times New Roman" w:hAnsi="Times New Roman" w:cs="Times New Roman"/>
                <w:b/>
                <w:sz w:val="24"/>
                <w:lang w:eastAsia="zh-CN"/>
              </w:rPr>
              <w:t>废气</w:t>
            </w:r>
          </w:p>
          <w:p w14:paraId="206B7EBC">
            <w:pPr>
              <w:pStyle w:val="23"/>
              <w:spacing w:line="360" w:lineRule="auto"/>
              <w:ind w:firstLine="480" w:firstLineChars="200"/>
              <w:jc w:val="both"/>
              <w:rPr>
                <w:rFonts w:hint="default" w:ascii="Times New Roman" w:hAnsi="Times New Roman" w:cs="Times New Roman"/>
                <w:color w:val="auto"/>
                <w:sz w:val="24"/>
              </w:rPr>
            </w:pPr>
            <w:r>
              <w:rPr>
                <w:rFonts w:hint="eastAsia" w:cs="Times New Roman"/>
                <w:color w:val="auto"/>
                <w:sz w:val="24"/>
                <w:lang w:val="en-US" w:eastAsia="zh-CN"/>
              </w:rPr>
              <w:t>1、</w:t>
            </w:r>
            <w:r>
              <w:rPr>
                <w:rFonts w:hint="default" w:ascii="Times New Roman" w:hAnsi="Times New Roman" w:cs="Times New Roman"/>
                <w:color w:val="auto"/>
                <w:sz w:val="24"/>
              </w:rPr>
              <w:t>环境敏感点调查</w:t>
            </w:r>
          </w:p>
          <w:p w14:paraId="00A1BB8D">
            <w:pPr>
              <w:pStyle w:val="23"/>
              <w:keepNext w:val="0"/>
              <w:keepLines w:val="0"/>
              <w:pageBreakBefore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本次调查针对环境敏感点进行调查，主要为矿界</w:t>
            </w:r>
            <w:r>
              <w:rPr>
                <w:rFonts w:hint="default" w:ascii="Times New Roman" w:hAnsi="Times New Roman" w:cs="Times New Roman"/>
                <w:color w:val="auto"/>
                <w:sz w:val="24"/>
                <w:lang w:val="en-US" w:eastAsia="zh-CN"/>
              </w:rPr>
              <w:t>附近的居民点</w:t>
            </w:r>
            <w:r>
              <w:rPr>
                <w:rFonts w:hint="default" w:ascii="Times New Roman" w:hAnsi="Times New Roman" w:cs="Times New Roman"/>
                <w:color w:val="auto"/>
                <w:sz w:val="24"/>
              </w:rPr>
              <w:t>。</w:t>
            </w:r>
          </w:p>
          <w:p w14:paraId="2873DDF8">
            <w:pPr>
              <w:pStyle w:val="23"/>
              <w:keepNext w:val="0"/>
              <w:keepLines w:val="0"/>
              <w:pageBreakBefore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经过现场调查确认，项目矿界外500m范围内</w:t>
            </w:r>
            <w:r>
              <w:rPr>
                <w:rFonts w:hint="default" w:ascii="Times New Roman" w:hAnsi="Times New Roman" w:cs="Times New Roman"/>
                <w:color w:val="auto"/>
                <w:sz w:val="24"/>
                <w:lang w:val="en-US" w:eastAsia="zh-CN"/>
              </w:rPr>
              <w:t>无大气环境保护目标</w:t>
            </w:r>
            <w:r>
              <w:rPr>
                <w:rFonts w:hint="eastAsia" w:ascii="Times New Roman" w:hAnsi="Times New Roman" w:cs="Times New Roman"/>
                <w:color w:val="auto"/>
                <w:sz w:val="24"/>
                <w:lang w:val="en-US" w:eastAsia="zh-CN"/>
              </w:rPr>
              <w:t>。</w:t>
            </w:r>
          </w:p>
          <w:p w14:paraId="3CE04282">
            <w:pPr>
              <w:pStyle w:val="23"/>
              <w:keepNext w:val="0"/>
              <w:keepLines w:val="0"/>
              <w:pageBreakBefore w:val="0"/>
              <w:tabs>
                <w:tab w:val="left" w:pos="1191"/>
              </w:tabs>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cs="Times New Roman"/>
                <w:color w:val="auto"/>
                <w:sz w:val="24"/>
              </w:rPr>
            </w:pPr>
            <w:r>
              <w:rPr>
                <w:rFonts w:hint="eastAsia" w:cs="Times New Roman"/>
                <w:color w:val="auto"/>
                <w:sz w:val="24"/>
                <w:lang w:val="en-US" w:eastAsia="zh-CN"/>
              </w:rPr>
              <w:t>2、</w:t>
            </w:r>
            <w:r>
              <w:rPr>
                <w:rFonts w:hint="default" w:ascii="Times New Roman" w:hAnsi="Times New Roman" w:cs="Times New Roman"/>
                <w:color w:val="auto"/>
                <w:sz w:val="24"/>
              </w:rPr>
              <w:t>废</w:t>
            </w:r>
            <w:r>
              <w:rPr>
                <w:rFonts w:hint="default" w:ascii="Times New Roman" w:hAnsi="Times New Roman" w:cs="Times New Roman"/>
                <w:color w:val="auto"/>
                <w:sz w:val="24"/>
                <w:lang w:eastAsia="zh-CN"/>
              </w:rPr>
              <w:t>气</w:t>
            </w:r>
            <w:r>
              <w:rPr>
                <w:rFonts w:hint="default" w:ascii="Times New Roman" w:hAnsi="Times New Roman" w:cs="Times New Roman"/>
                <w:color w:val="auto"/>
                <w:sz w:val="24"/>
              </w:rPr>
              <w:t>处理情况调查</w:t>
            </w:r>
          </w:p>
          <w:p w14:paraId="48048A95">
            <w:pPr>
              <w:pStyle w:val="23"/>
              <w:keepNext w:val="0"/>
              <w:keepLines w:val="0"/>
              <w:pageBreakBefore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项目生产过程中产生的废气有切割分离粉尘、装卸扬尘、运输扬尘、动力机械燃油尾气、食堂油烟，现采取的防治措施如下：</w:t>
            </w:r>
          </w:p>
          <w:p w14:paraId="7EB3904C">
            <w:pPr>
              <w:pStyle w:val="23"/>
              <w:keepNext w:val="0"/>
              <w:keepLines w:val="0"/>
              <w:pageBreakBefore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1</w:t>
            </w:r>
            <w:r>
              <w:rPr>
                <w:rFonts w:hint="eastAsia" w:cs="Times New Roman"/>
                <w:color w:val="auto"/>
                <w:sz w:val="24"/>
                <w:szCs w:val="24"/>
                <w:lang w:eastAsia="zh-CN"/>
              </w:rPr>
              <w:t>）</w:t>
            </w:r>
            <w:r>
              <w:rPr>
                <w:rFonts w:hint="default" w:ascii="Times New Roman" w:hAnsi="Times New Roman" w:cs="Times New Roman"/>
                <w:color w:val="auto"/>
                <w:sz w:val="24"/>
                <w:szCs w:val="24"/>
              </w:rPr>
              <w:t>切割分离粉尘：采取湿法切割，同时采取洒水降尘；</w:t>
            </w:r>
          </w:p>
          <w:p w14:paraId="47FCBBEE">
            <w:pPr>
              <w:pStyle w:val="23"/>
              <w:keepNext w:val="0"/>
              <w:keepLines w:val="0"/>
              <w:pageBreakBefore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2</w:t>
            </w:r>
            <w:r>
              <w:rPr>
                <w:rFonts w:hint="eastAsia" w:cs="Times New Roman"/>
                <w:color w:val="auto"/>
                <w:sz w:val="24"/>
                <w:szCs w:val="24"/>
                <w:lang w:eastAsia="zh-CN"/>
              </w:rPr>
              <w:t>）</w:t>
            </w:r>
            <w:r>
              <w:rPr>
                <w:rFonts w:hint="default" w:ascii="Times New Roman" w:hAnsi="Times New Roman" w:cs="Times New Roman"/>
                <w:color w:val="auto"/>
                <w:sz w:val="24"/>
                <w:szCs w:val="24"/>
              </w:rPr>
              <w:t>剥离粉尘、装卸扬尘、运输扬尘：采取洒水降尘；</w:t>
            </w:r>
          </w:p>
          <w:p w14:paraId="0A998045">
            <w:pPr>
              <w:pStyle w:val="23"/>
              <w:keepNext w:val="0"/>
              <w:keepLines w:val="0"/>
              <w:pageBreakBefore w:val="0"/>
              <w:tabs>
                <w:tab w:val="left" w:pos="1191"/>
              </w:tabs>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cs="Times New Roman"/>
                <w:color w:val="auto"/>
                <w:sz w:val="24"/>
              </w:rPr>
            </w:pPr>
            <w:r>
              <w:rPr>
                <w:rFonts w:hint="eastAsia" w:cs="Times New Roman"/>
                <w:color w:val="auto"/>
                <w:sz w:val="24"/>
                <w:lang w:val="en-US" w:eastAsia="zh-CN"/>
              </w:rPr>
              <w:t>3、</w:t>
            </w:r>
            <w:r>
              <w:rPr>
                <w:rFonts w:hint="default" w:ascii="Times New Roman" w:hAnsi="Times New Roman" w:cs="Times New Roman"/>
                <w:color w:val="auto"/>
                <w:sz w:val="24"/>
              </w:rPr>
              <w:t>环境</w:t>
            </w:r>
            <w:r>
              <w:rPr>
                <w:rFonts w:hint="default" w:ascii="Times New Roman" w:hAnsi="Times New Roman" w:cs="Times New Roman"/>
                <w:color w:val="auto"/>
                <w:sz w:val="24"/>
                <w:lang w:eastAsia="zh-CN"/>
              </w:rPr>
              <w:t>空气</w:t>
            </w:r>
            <w:r>
              <w:rPr>
                <w:rFonts w:hint="default" w:ascii="Times New Roman" w:hAnsi="Times New Roman" w:cs="Times New Roman"/>
                <w:color w:val="auto"/>
                <w:sz w:val="24"/>
              </w:rPr>
              <w:t>影响调查结论</w:t>
            </w:r>
          </w:p>
          <w:p w14:paraId="618E867C">
            <w:pPr>
              <w:pStyle w:val="23"/>
              <w:keepNext w:val="0"/>
              <w:keepLines w:val="0"/>
              <w:pageBreakBefore w:val="0"/>
              <w:tabs>
                <w:tab w:val="left" w:pos="1191"/>
              </w:tabs>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lang w:eastAsia="zh-CN"/>
              </w:rPr>
              <w:t>我公司</w:t>
            </w:r>
            <w:r>
              <w:rPr>
                <w:rFonts w:hint="default" w:ascii="Times New Roman" w:hAnsi="Times New Roman" w:cs="Times New Roman"/>
                <w:color w:val="auto"/>
                <w:sz w:val="24"/>
              </w:rPr>
              <w:t>根据环境影响报告表及其批复的要求，</w:t>
            </w:r>
            <w:r>
              <w:rPr>
                <w:rFonts w:hint="default" w:ascii="Times New Roman" w:hAnsi="Times New Roman" w:cs="Times New Roman"/>
                <w:color w:val="auto"/>
                <w:sz w:val="24"/>
                <w:lang w:val="en-US" w:eastAsia="zh-CN"/>
              </w:rPr>
              <w:t>基本</w:t>
            </w:r>
            <w:r>
              <w:rPr>
                <w:rFonts w:hint="default" w:ascii="Times New Roman" w:hAnsi="Times New Roman" w:cs="Times New Roman"/>
                <w:color w:val="auto"/>
                <w:sz w:val="24"/>
              </w:rPr>
              <w:t>落实了</w:t>
            </w:r>
            <w:r>
              <w:rPr>
                <w:rFonts w:hint="default" w:ascii="Times New Roman" w:hAnsi="Times New Roman" w:cs="Times New Roman"/>
                <w:color w:val="auto"/>
                <w:sz w:val="24"/>
                <w:lang w:eastAsia="zh-CN"/>
              </w:rPr>
              <w:t>废气处理措施</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项目</w:t>
            </w:r>
            <w:r>
              <w:rPr>
                <w:rFonts w:hint="default" w:ascii="Times New Roman" w:hAnsi="Times New Roman" w:cs="Times New Roman"/>
                <w:color w:val="auto"/>
                <w:sz w:val="24"/>
              </w:rPr>
              <w:t>未对周边环境和敏感点造成明显</w:t>
            </w:r>
            <w:r>
              <w:rPr>
                <w:rFonts w:hint="default" w:ascii="Times New Roman" w:hAnsi="Times New Roman" w:cs="Times New Roman"/>
                <w:color w:val="auto"/>
                <w:sz w:val="24"/>
                <w:lang w:val="en-US" w:eastAsia="zh-CN"/>
              </w:rPr>
              <w:t>的环境</w:t>
            </w:r>
            <w:r>
              <w:rPr>
                <w:rFonts w:hint="default" w:ascii="Times New Roman" w:hAnsi="Times New Roman" w:cs="Times New Roman"/>
                <w:color w:val="auto"/>
                <w:sz w:val="24"/>
              </w:rPr>
              <w:t>影响，未</w:t>
            </w:r>
            <w:r>
              <w:rPr>
                <w:rFonts w:hint="default" w:ascii="Times New Roman" w:hAnsi="Times New Roman" w:cs="Times New Roman"/>
                <w:color w:val="auto"/>
                <w:sz w:val="24"/>
                <w:lang w:val="en-US" w:eastAsia="zh-CN"/>
              </w:rPr>
              <w:t>收到</w:t>
            </w:r>
            <w:r>
              <w:rPr>
                <w:rFonts w:hint="default" w:ascii="Times New Roman" w:hAnsi="Times New Roman" w:cs="Times New Roman"/>
                <w:color w:val="auto"/>
                <w:sz w:val="24"/>
              </w:rPr>
              <w:t>附近居民关于环境污染的</w:t>
            </w:r>
            <w:r>
              <w:rPr>
                <w:rFonts w:hint="default" w:ascii="Times New Roman" w:hAnsi="Times New Roman" w:cs="Times New Roman"/>
                <w:color w:val="auto"/>
                <w:sz w:val="24"/>
                <w:lang w:val="en-US" w:eastAsia="zh-CN"/>
              </w:rPr>
              <w:t>投诉</w:t>
            </w:r>
            <w:r>
              <w:rPr>
                <w:rFonts w:hint="default" w:ascii="Times New Roman" w:hAnsi="Times New Roman" w:cs="Times New Roman"/>
                <w:color w:val="auto"/>
                <w:sz w:val="24"/>
              </w:rPr>
              <w:t>。</w:t>
            </w:r>
          </w:p>
          <w:p w14:paraId="2ADBFA37">
            <w:pPr>
              <w:pStyle w:val="23"/>
              <w:keepNext w:val="0"/>
              <w:keepLines w:val="0"/>
              <w:pageBreakBefore w:val="0"/>
              <w:kinsoku/>
              <w:wordWrap/>
              <w:overflowPunct/>
              <w:topLinePunct w:val="0"/>
              <w:autoSpaceDE/>
              <w:autoSpaceDN/>
              <w:bidi w:val="0"/>
              <w:snapToGrid w:val="0"/>
              <w:spacing w:line="360" w:lineRule="auto"/>
              <w:jc w:val="both"/>
              <w:textAlignment w:val="auto"/>
              <w:rPr>
                <w:rFonts w:hint="default" w:ascii="Times New Roman" w:hAnsi="Times New Roman" w:cs="Times New Roman"/>
                <w:b/>
                <w:sz w:val="24"/>
              </w:rPr>
            </w:pPr>
            <w:r>
              <w:rPr>
                <w:rFonts w:hint="eastAsia" w:cs="Times New Roman"/>
                <w:b/>
                <w:sz w:val="24"/>
                <w:lang w:val="en-US" w:eastAsia="zh-CN"/>
              </w:rPr>
              <w:t>（二）</w:t>
            </w:r>
            <w:r>
              <w:rPr>
                <w:rFonts w:hint="default" w:ascii="Times New Roman" w:hAnsi="Times New Roman" w:cs="Times New Roman"/>
                <w:b/>
                <w:sz w:val="24"/>
                <w:lang w:eastAsia="zh-CN"/>
              </w:rPr>
              <w:t>废水</w:t>
            </w:r>
          </w:p>
          <w:p w14:paraId="3C8644A5">
            <w:pPr>
              <w:pStyle w:val="23"/>
              <w:keepNext w:val="0"/>
              <w:keepLines w:val="0"/>
              <w:pageBreakBefore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cs="Times New Roman"/>
                <w:sz w:val="24"/>
              </w:rPr>
            </w:pPr>
            <w:r>
              <w:rPr>
                <w:rFonts w:hint="eastAsia" w:cs="Times New Roman"/>
                <w:sz w:val="24"/>
                <w:lang w:val="en-US" w:eastAsia="zh-CN"/>
              </w:rPr>
              <w:t>1、</w:t>
            </w:r>
            <w:r>
              <w:rPr>
                <w:rFonts w:hint="default" w:ascii="Times New Roman" w:hAnsi="Times New Roman" w:cs="Times New Roman"/>
                <w:sz w:val="24"/>
              </w:rPr>
              <w:t>废水产生情况调查</w:t>
            </w:r>
          </w:p>
          <w:p w14:paraId="2F9423C5">
            <w:pPr>
              <w:pStyle w:val="23"/>
              <w:keepNext w:val="0"/>
              <w:keepLines w:val="0"/>
              <w:pageBreakBefore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cs="Times New Roman"/>
                <w:sz w:val="24"/>
              </w:rPr>
            </w:pPr>
            <w:r>
              <w:rPr>
                <w:rFonts w:hint="default" w:ascii="Times New Roman" w:hAnsi="Times New Roman" w:cs="Times New Roman"/>
                <w:color w:val="000000"/>
                <w:sz w:val="24"/>
                <w:szCs w:val="24"/>
              </w:rPr>
              <w:t>运营期</w:t>
            </w:r>
            <w:r>
              <w:rPr>
                <w:rFonts w:hint="default" w:ascii="Times New Roman" w:hAnsi="Times New Roman" w:cs="Times New Roman"/>
                <w:color w:val="000000"/>
                <w:sz w:val="24"/>
                <w:szCs w:val="24"/>
                <w:lang w:val="en-US" w:eastAsia="zh-CN"/>
              </w:rPr>
              <w:t>废水主要为</w:t>
            </w:r>
            <w:r>
              <w:rPr>
                <w:rFonts w:hint="default" w:ascii="Times New Roman" w:hAnsi="Times New Roman" w:eastAsia="宋体" w:cs="Times New Roman"/>
                <w:b w:val="0"/>
                <w:bCs w:val="0"/>
                <w:sz w:val="24"/>
                <w:szCs w:val="24"/>
                <w:lang w:val="en-US" w:eastAsia="zh-CN"/>
              </w:rPr>
              <w:t>生产废水、生活废水和初期雨水</w:t>
            </w:r>
            <w:r>
              <w:rPr>
                <w:rFonts w:hint="default" w:ascii="Times New Roman" w:hAnsi="Times New Roman" w:cs="Times New Roman"/>
                <w:sz w:val="24"/>
                <w:lang w:eastAsia="zh-CN"/>
              </w:rPr>
              <w:t>。</w:t>
            </w:r>
          </w:p>
          <w:p w14:paraId="657D6173">
            <w:pPr>
              <w:pStyle w:val="23"/>
              <w:keepNext w:val="0"/>
              <w:keepLines w:val="0"/>
              <w:pageBreakBefore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cs="Times New Roman"/>
                <w:sz w:val="24"/>
              </w:rPr>
            </w:pPr>
            <w:r>
              <w:rPr>
                <w:rFonts w:hint="eastAsia" w:cs="Times New Roman"/>
                <w:sz w:val="24"/>
                <w:lang w:val="en-US" w:eastAsia="zh-CN"/>
              </w:rPr>
              <w:t>2、</w:t>
            </w:r>
            <w:r>
              <w:rPr>
                <w:rFonts w:hint="default" w:ascii="Times New Roman" w:hAnsi="Times New Roman" w:cs="Times New Roman"/>
                <w:sz w:val="24"/>
              </w:rPr>
              <w:t>废水处理情况调查</w:t>
            </w:r>
          </w:p>
          <w:p w14:paraId="2ABDBBB1">
            <w:pPr>
              <w:keepNext w:val="0"/>
              <w:keepLines w:val="0"/>
              <w:pageBreakBefore w:val="0"/>
              <w:widowControl/>
              <w:suppressLineNumbers w:val="0"/>
              <w:tabs>
                <w:tab w:val="left" w:pos="1680"/>
                <w:tab w:val="left" w:pos="8607"/>
              </w:tabs>
              <w:kinsoku/>
              <w:wordWrap/>
              <w:overflowPunct/>
              <w:topLinePunct w:val="0"/>
              <w:autoSpaceDE/>
              <w:autoSpaceDN/>
              <w:bidi w:val="0"/>
              <w:adjustRightInd/>
              <w:snapToGrid w:val="0"/>
              <w:spacing w:line="360" w:lineRule="auto"/>
              <w:ind w:firstLine="470" w:firstLineChars="196"/>
              <w:contextualSpacing w:val="0"/>
              <w:jc w:val="left"/>
              <w:textAlignment w:val="auto"/>
              <w:outlineLvl w:val="9"/>
              <w:rPr>
                <w:rFonts w:ascii="Times New Roman" w:hAnsi="Times New Roman" w:eastAsia="宋体" w:cs="Times New Roman"/>
                <w:color w:val="000000"/>
                <w:sz w:val="24"/>
                <w:szCs w:val="24"/>
              </w:rPr>
            </w:pPr>
            <w:r>
              <w:rPr>
                <w:rFonts w:hint="default" w:ascii="Times New Roman" w:hAnsi="Times New Roman" w:eastAsia="宋体" w:cs="Times New Roman"/>
                <w:color w:val="000000"/>
                <w:kern w:val="2"/>
                <w:sz w:val="24"/>
                <w:szCs w:val="24"/>
                <w:lang w:val="en-US" w:eastAsia="zh-CN" w:bidi="ar"/>
              </w:rPr>
              <w:t>项目矿区设置排水沟（规格：0.5m*0.5m），均位于各小区块坑底，平台网格式修建排水渠（规格：0.5m*0.5m），间距按100m×200m布置；矿区露天开采终了平台外设置截洪沟（规格：上宽600mm，下宽400mm，深400mm，边坡1：0.2，纵坡不小于1%）。</w:t>
            </w:r>
          </w:p>
          <w:p w14:paraId="3548FD11">
            <w:pPr>
              <w:keepNext w:val="0"/>
              <w:keepLines w:val="0"/>
              <w:pageBreakBefore w:val="0"/>
              <w:widowControl/>
              <w:tabs>
                <w:tab w:val="left" w:pos="1680"/>
                <w:tab w:val="left" w:pos="8607"/>
              </w:tabs>
              <w:kinsoku/>
              <w:wordWrap/>
              <w:overflowPunct/>
              <w:topLinePunct w:val="0"/>
              <w:autoSpaceDE/>
              <w:autoSpaceDN/>
              <w:bidi w:val="0"/>
              <w:adjustRightInd/>
              <w:snapToGrid w:val="0"/>
              <w:spacing w:line="360" w:lineRule="auto"/>
              <w:ind w:left="0" w:leftChars="0" w:right="0" w:rightChars="0" w:firstLine="470" w:firstLineChars="196"/>
              <w:contextualSpacing w:val="0"/>
              <w:jc w:val="left"/>
              <w:textAlignment w:val="auto"/>
              <w:outlineLvl w:val="9"/>
              <w:rPr>
                <w:rFonts w:hint="default" w:ascii="Times New Roman" w:hAnsi="Times New Roman" w:eastAsia="宋体" w:cs="Times New Roman"/>
                <w:color w:val="000000"/>
                <w:spacing w:val="0"/>
                <w:position w:val="0"/>
                <w:sz w:val="24"/>
                <w:szCs w:val="24"/>
              </w:rPr>
            </w:pPr>
            <w:r>
              <w:rPr>
                <w:rFonts w:hint="default" w:ascii="Times New Roman" w:hAnsi="Times New Roman" w:eastAsia="宋体" w:cs="Times New Roman"/>
                <w:color w:val="000000"/>
                <w:spacing w:val="0"/>
                <w:position w:val="0"/>
                <w:sz w:val="24"/>
                <w:szCs w:val="24"/>
                <w:lang w:eastAsia="zh-CN"/>
              </w:rPr>
              <w:t>开采平台上生产废水和雨水由</w:t>
            </w:r>
            <w:r>
              <w:rPr>
                <w:rFonts w:hint="default" w:ascii="Times New Roman" w:hAnsi="Times New Roman" w:eastAsia="宋体" w:cs="Times New Roman"/>
                <w:color w:val="000000"/>
                <w:spacing w:val="0"/>
                <w:position w:val="0"/>
                <w:sz w:val="24"/>
                <w:szCs w:val="24"/>
              </w:rPr>
              <w:t>污水排水沟</w:t>
            </w:r>
            <w:r>
              <w:rPr>
                <w:rFonts w:hint="default" w:ascii="Times New Roman" w:hAnsi="Times New Roman" w:eastAsia="宋体" w:cs="Times New Roman"/>
                <w:color w:val="000000"/>
                <w:spacing w:val="0"/>
                <w:position w:val="0"/>
                <w:sz w:val="24"/>
                <w:szCs w:val="24"/>
                <w:lang w:eastAsia="zh-CN"/>
              </w:rPr>
              <w:t>收集</w:t>
            </w:r>
            <w:r>
              <w:rPr>
                <w:rFonts w:hint="default" w:ascii="Times New Roman" w:hAnsi="Times New Roman" w:eastAsia="宋体" w:cs="Times New Roman"/>
                <w:color w:val="000000"/>
                <w:spacing w:val="0"/>
                <w:position w:val="0"/>
                <w:sz w:val="24"/>
                <w:szCs w:val="24"/>
              </w:rPr>
              <w:t>至</w:t>
            </w:r>
            <w:r>
              <w:rPr>
                <w:rFonts w:hint="default" w:ascii="Times New Roman" w:hAnsi="Times New Roman" w:eastAsia="宋体" w:cs="Times New Roman"/>
                <w:b w:val="0"/>
                <w:bCs w:val="0"/>
                <w:color w:val="000000"/>
                <w:sz w:val="24"/>
                <w:szCs w:val="24"/>
                <w:lang w:val="en-US" w:eastAsia="zh-CN"/>
              </w:rPr>
              <w:t>平台废水循环利用处理站</w:t>
            </w:r>
            <w:r>
              <w:rPr>
                <w:rFonts w:hint="default" w:ascii="Times New Roman" w:hAnsi="Times New Roman" w:eastAsia="宋体" w:cs="Times New Roman"/>
                <w:color w:val="000000"/>
                <w:spacing w:val="0"/>
                <w:position w:val="0"/>
                <w:sz w:val="24"/>
                <w:szCs w:val="24"/>
                <w:lang w:eastAsia="zh-CN"/>
              </w:rPr>
              <w:t>（沉淀</w:t>
            </w:r>
            <w:r>
              <w:rPr>
                <w:rFonts w:hint="default" w:ascii="Times New Roman" w:hAnsi="Times New Roman" w:eastAsia="宋体" w:cs="Times New Roman"/>
                <w:color w:val="000000"/>
                <w:spacing w:val="0"/>
                <w:position w:val="0"/>
                <w:sz w:val="24"/>
                <w:szCs w:val="24"/>
                <w:lang w:val="en-US" w:eastAsia="zh-CN"/>
              </w:rPr>
              <w:t>+压滤</w:t>
            </w:r>
            <w:r>
              <w:rPr>
                <w:rFonts w:hint="default" w:ascii="Times New Roman" w:hAnsi="Times New Roman" w:eastAsia="宋体" w:cs="Times New Roman"/>
                <w:color w:val="000000"/>
                <w:spacing w:val="0"/>
                <w:position w:val="0"/>
                <w:sz w:val="24"/>
                <w:szCs w:val="24"/>
                <w:lang w:eastAsia="zh-CN"/>
              </w:rPr>
              <w:t>）</w:t>
            </w:r>
            <w:r>
              <w:rPr>
                <w:rFonts w:hint="default" w:ascii="Times New Roman" w:hAnsi="Times New Roman" w:eastAsia="宋体" w:cs="Times New Roman"/>
                <w:b w:val="0"/>
                <w:bCs w:val="0"/>
                <w:color w:val="000000"/>
                <w:sz w:val="24"/>
                <w:szCs w:val="24"/>
                <w:lang w:val="en-US" w:eastAsia="zh-CN"/>
              </w:rPr>
              <w:t>处理后回用，开采平台外裸露边坡和道路的雨水由雨水收集池和后备雨水池收集处理后回用于生产。生活污水</w:t>
            </w:r>
            <w:r>
              <w:rPr>
                <w:rFonts w:hint="default" w:ascii="Times New Roman" w:hAnsi="Times New Roman" w:eastAsia="宋体" w:cs="Times New Roman"/>
                <w:color w:val="000000"/>
                <w:spacing w:val="0"/>
                <w:position w:val="0"/>
                <w:sz w:val="24"/>
                <w:szCs w:val="24"/>
              </w:rPr>
              <w:t>经</w:t>
            </w:r>
            <w:r>
              <w:rPr>
                <w:rFonts w:hint="default" w:ascii="Times New Roman" w:hAnsi="Times New Roman" w:eastAsia="宋体" w:cs="Times New Roman"/>
                <w:color w:val="000000"/>
                <w:spacing w:val="0"/>
                <w:position w:val="0"/>
                <w:sz w:val="24"/>
                <w:szCs w:val="24"/>
                <w:lang w:val="en-US" w:eastAsia="zh-CN"/>
              </w:rPr>
              <w:t>一体化系统</w:t>
            </w:r>
            <w:r>
              <w:rPr>
                <w:rFonts w:hint="default" w:ascii="Times New Roman" w:hAnsi="Times New Roman" w:eastAsia="宋体" w:cs="Times New Roman"/>
                <w:color w:val="000000"/>
                <w:spacing w:val="0"/>
                <w:position w:val="0"/>
                <w:sz w:val="24"/>
                <w:szCs w:val="24"/>
              </w:rPr>
              <w:t>处理后</w:t>
            </w:r>
            <w:r>
              <w:rPr>
                <w:rFonts w:hint="default" w:ascii="Times New Roman" w:hAnsi="Times New Roman" w:eastAsia="宋体" w:cs="Times New Roman"/>
                <w:color w:val="000000"/>
                <w:spacing w:val="0"/>
                <w:position w:val="0"/>
                <w:sz w:val="24"/>
                <w:szCs w:val="24"/>
                <w:lang w:eastAsia="zh-CN"/>
              </w:rPr>
              <w:t>回用生产</w:t>
            </w:r>
            <w:r>
              <w:rPr>
                <w:rFonts w:hint="default" w:ascii="Times New Roman" w:hAnsi="Times New Roman" w:eastAsia="宋体" w:cs="Times New Roman"/>
                <w:color w:val="000000"/>
                <w:spacing w:val="0"/>
                <w:position w:val="0"/>
                <w:sz w:val="24"/>
                <w:szCs w:val="24"/>
              </w:rPr>
              <w:t>。</w:t>
            </w:r>
          </w:p>
          <w:p w14:paraId="6196F8A9">
            <w:pPr>
              <w:keepNext w:val="0"/>
              <w:keepLines w:val="0"/>
              <w:pageBreakBefore w:val="0"/>
              <w:widowControl/>
              <w:tabs>
                <w:tab w:val="left" w:pos="1680"/>
                <w:tab w:val="left" w:pos="8607"/>
              </w:tabs>
              <w:kinsoku/>
              <w:wordWrap/>
              <w:overflowPunct/>
              <w:topLinePunct w:val="0"/>
              <w:autoSpaceDE/>
              <w:autoSpaceDN/>
              <w:bidi w:val="0"/>
              <w:snapToGrid w:val="0"/>
              <w:spacing w:after="0" w:line="360" w:lineRule="auto"/>
              <w:ind w:firstLine="470" w:firstLineChars="196"/>
              <w:contextualSpacing w:val="0"/>
              <w:jc w:val="left"/>
              <w:textAlignment w:val="auto"/>
              <w:outlineLvl w:val="9"/>
              <w:rPr>
                <w:rFonts w:hint="eastAsia" w:ascii="Times New Roman" w:hAnsi="Times New Roman" w:eastAsia="宋体" w:cs="Times New Roman"/>
                <w:color w:val="auto"/>
                <w:sz w:val="24"/>
                <w:szCs w:val="24"/>
                <w:lang w:eastAsia="zh-CN"/>
              </w:rPr>
            </w:pPr>
            <w:r>
              <w:rPr>
                <w:rFonts w:hint="eastAsia" w:cs="Times New Roman"/>
                <w:b w:val="0"/>
                <w:bCs w:val="0"/>
                <w:color w:val="000000"/>
                <w:sz w:val="24"/>
                <w:szCs w:val="24"/>
                <w:lang w:val="en-US" w:eastAsia="zh-CN"/>
              </w:rPr>
              <w:t>C8区块</w:t>
            </w:r>
            <w:r>
              <w:rPr>
                <w:rFonts w:hint="default" w:ascii="Times New Roman" w:hAnsi="Times New Roman" w:eastAsia="宋体" w:cs="Times New Roman"/>
                <w:color w:val="000000"/>
                <w:spacing w:val="0"/>
                <w:position w:val="0"/>
                <w:sz w:val="24"/>
                <w:szCs w:val="24"/>
                <w:lang w:eastAsia="zh-CN"/>
              </w:rPr>
              <w:t>现有</w:t>
            </w:r>
            <w:r>
              <w:rPr>
                <w:rFonts w:hint="default" w:ascii="Times New Roman" w:hAnsi="Times New Roman" w:eastAsia="宋体" w:cs="Times New Roman"/>
                <w:b w:val="0"/>
                <w:bCs w:val="0"/>
                <w:color w:val="000000"/>
                <w:sz w:val="24"/>
                <w:szCs w:val="24"/>
                <w:lang w:val="en-US" w:eastAsia="zh-CN"/>
              </w:rPr>
              <w:t>现有平台废水循环利用处理站处理能力为</w:t>
            </w:r>
            <w:r>
              <w:rPr>
                <w:rFonts w:hint="eastAsia" w:cs="Times New Roman"/>
                <w:b w:val="0"/>
                <w:bCs w:val="0"/>
                <w:color w:val="000000"/>
                <w:sz w:val="24"/>
                <w:szCs w:val="24"/>
                <w:lang w:val="en-US" w:eastAsia="zh-CN"/>
              </w:rPr>
              <w:t>18000</w:t>
            </w:r>
            <w:r>
              <w:rPr>
                <w:rFonts w:hint="default" w:ascii="Times New Roman" w:hAnsi="Times New Roman" w:eastAsia="宋体" w:cs="Times New Roman"/>
                <w:b w:val="0"/>
                <w:bCs w:val="0"/>
                <w:color w:val="000000"/>
                <w:sz w:val="24"/>
                <w:szCs w:val="24"/>
                <w:lang w:val="en-US" w:eastAsia="zh-CN"/>
              </w:rPr>
              <w:t>吨/日，处理工艺是沉淀和压滤。现有生活污水一体化污水处理设备处理能力为</w:t>
            </w:r>
            <w:r>
              <w:rPr>
                <w:rFonts w:hint="eastAsia" w:cs="Times New Roman"/>
                <w:b w:val="0"/>
                <w:bCs w:val="0"/>
                <w:color w:val="000000"/>
                <w:sz w:val="24"/>
                <w:szCs w:val="24"/>
                <w:lang w:val="en-US" w:eastAsia="zh-CN"/>
              </w:rPr>
              <w:t>150</w:t>
            </w:r>
            <w:r>
              <w:rPr>
                <w:rFonts w:hint="default" w:ascii="Times New Roman" w:hAnsi="Times New Roman" w:eastAsia="宋体" w:cs="Times New Roman"/>
                <w:b w:val="0"/>
                <w:bCs w:val="0"/>
                <w:color w:val="000000"/>
                <w:sz w:val="24"/>
                <w:szCs w:val="24"/>
                <w:lang w:val="en-US" w:eastAsia="zh-CN"/>
              </w:rPr>
              <w:t>m</w:t>
            </w:r>
            <w:r>
              <w:rPr>
                <w:rFonts w:hint="default" w:ascii="Times New Roman" w:hAnsi="Times New Roman" w:eastAsia="宋体" w:cs="Times New Roman"/>
                <w:b w:val="0"/>
                <w:bCs w:val="0"/>
                <w:color w:val="000000"/>
                <w:sz w:val="24"/>
                <w:szCs w:val="24"/>
                <w:vertAlign w:val="superscript"/>
                <w:lang w:val="en-US" w:eastAsia="zh-CN"/>
              </w:rPr>
              <w:t>3</w:t>
            </w:r>
            <w:r>
              <w:rPr>
                <w:rFonts w:hint="default" w:ascii="Times New Roman" w:hAnsi="Times New Roman" w:eastAsia="宋体" w:cs="Times New Roman"/>
                <w:b w:val="0"/>
                <w:bCs w:val="0"/>
                <w:color w:val="000000"/>
                <w:sz w:val="24"/>
                <w:szCs w:val="24"/>
                <w:lang w:val="en-US" w:eastAsia="zh-CN"/>
              </w:rPr>
              <w:t>/d，处理工艺为A/O。</w:t>
            </w:r>
          </w:p>
          <w:p w14:paraId="2077D41D">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rPr>
            </w:pPr>
            <w:r>
              <w:rPr>
                <w:rFonts w:hint="default" w:ascii="Times New Roman" w:hAnsi="Times New Roman" w:eastAsia="宋体" w:cs="Times New Roman"/>
                <w:sz w:val="24"/>
                <w:szCs w:val="24"/>
                <w:lang w:val="en-US" w:eastAsia="zh-CN" w:bidi="zh-CN"/>
              </w:rPr>
              <w:t>生产废水经由污水排水沟收集至矿区污水收集池沉淀处理后回用生产；生活污水经一体化系统处理后回用生产。</w:t>
            </w:r>
          </w:p>
          <w:p w14:paraId="42312C75">
            <w:pPr>
              <w:pStyle w:val="23"/>
              <w:spacing w:line="360" w:lineRule="auto"/>
              <w:ind w:firstLine="480" w:firstLineChars="200"/>
              <w:jc w:val="both"/>
              <w:rPr>
                <w:rFonts w:hint="default" w:ascii="Times New Roman" w:hAnsi="Times New Roman" w:cs="Times New Roman"/>
                <w:sz w:val="24"/>
              </w:rPr>
            </w:pPr>
            <w:r>
              <w:rPr>
                <w:rFonts w:hint="eastAsia" w:cs="Times New Roman"/>
                <w:sz w:val="24"/>
                <w:lang w:val="en-US" w:eastAsia="zh-CN"/>
              </w:rPr>
              <w:t>3、</w:t>
            </w:r>
            <w:r>
              <w:rPr>
                <w:rFonts w:hint="default" w:ascii="Times New Roman" w:hAnsi="Times New Roman" w:cs="Times New Roman"/>
                <w:sz w:val="24"/>
              </w:rPr>
              <w:t>水污染环境调查结论</w:t>
            </w:r>
          </w:p>
          <w:p w14:paraId="51CA7EBE">
            <w:pPr>
              <w:pStyle w:val="23"/>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color w:val="auto"/>
                <w:sz w:val="24"/>
                <w:lang w:eastAsia="zh-CN"/>
              </w:rPr>
              <w:t>我公司</w:t>
            </w:r>
            <w:r>
              <w:rPr>
                <w:rFonts w:hint="default" w:ascii="Times New Roman" w:hAnsi="Times New Roman" w:cs="Times New Roman"/>
                <w:color w:val="auto"/>
                <w:sz w:val="24"/>
              </w:rPr>
              <w:t>根据环境影响报告表及其批复的要求</w:t>
            </w:r>
            <w:r>
              <w:rPr>
                <w:rFonts w:hint="eastAsia" w:ascii="Times New Roman" w:hAnsi="Times New Roman" w:cs="Times New Roman"/>
                <w:color w:val="auto"/>
                <w:sz w:val="24"/>
                <w:lang w:eastAsia="zh-CN"/>
              </w:rPr>
              <w:t>，</w:t>
            </w:r>
            <w:r>
              <w:rPr>
                <w:rFonts w:hint="default" w:ascii="Times New Roman" w:hAnsi="Times New Roman" w:cs="Times New Roman"/>
                <w:sz w:val="24"/>
              </w:rPr>
              <w:t>落实了废水处理措施，</w:t>
            </w:r>
            <w:r>
              <w:rPr>
                <w:rFonts w:hint="default" w:ascii="Times New Roman" w:hAnsi="Times New Roman" w:cs="Times New Roman"/>
                <w:sz w:val="24"/>
                <w:lang w:eastAsia="zh-CN"/>
              </w:rPr>
              <w:t>项目</w:t>
            </w:r>
            <w:r>
              <w:rPr>
                <w:rFonts w:hint="default" w:ascii="Times New Roman" w:hAnsi="Times New Roman" w:cs="Times New Roman"/>
                <w:sz w:val="24"/>
              </w:rPr>
              <w:t>未对周边环境和敏</w:t>
            </w:r>
            <w:r>
              <w:rPr>
                <w:rFonts w:hint="default" w:ascii="Times New Roman" w:hAnsi="Times New Roman" w:eastAsia="宋体" w:cs="Times New Roman"/>
                <w:sz w:val="24"/>
              </w:rPr>
              <w:t>感点造成环境影响。</w:t>
            </w:r>
          </w:p>
          <w:p w14:paraId="124E82E8">
            <w:pPr>
              <w:pStyle w:val="23"/>
              <w:spacing w:line="360" w:lineRule="auto"/>
              <w:jc w:val="both"/>
              <w:rPr>
                <w:rFonts w:hint="default" w:ascii="Times New Roman" w:hAnsi="Times New Roman" w:cs="Times New Roman"/>
                <w:b/>
                <w:sz w:val="24"/>
              </w:rPr>
            </w:pPr>
            <w:r>
              <w:rPr>
                <w:rFonts w:hint="eastAsia" w:cs="Times New Roman"/>
                <w:b/>
                <w:sz w:val="24"/>
                <w:lang w:eastAsia="zh-CN"/>
              </w:rPr>
              <w:t>（</w:t>
            </w:r>
            <w:r>
              <w:rPr>
                <w:rFonts w:hint="eastAsia" w:cs="Times New Roman"/>
                <w:b/>
                <w:sz w:val="24"/>
                <w:lang w:val="en-US" w:eastAsia="zh-CN"/>
              </w:rPr>
              <w:t>三</w:t>
            </w:r>
            <w:r>
              <w:rPr>
                <w:rFonts w:hint="eastAsia" w:cs="Times New Roman"/>
                <w:b/>
                <w:sz w:val="24"/>
                <w:lang w:eastAsia="zh-CN"/>
              </w:rPr>
              <w:t>）</w:t>
            </w:r>
            <w:r>
              <w:rPr>
                <w:rFonts w:hint="default" w:ascii="Times New Roman" w:hAnsi="Times New Roman" w:cs="Times New Roman"/>
                <w:b/>
                <w:sz w:val="24"/>
                <w:lang w:eastAsia="zh-CN"/>
              </w:rPr>
              <w:t>噪声</w:t>
            </w:r>
          </w:p>
          <w:p w14:paraId="18D980AE">
            <w:pPr>
              <w:pStyle w:val="23"/>
              <w:tabs>
                <w:tab w:val="left" w:pos="1194"/>
              </w:tabs>
              <w:spacing w:before="1" w:line="360" w:lineRule="auto"/>
              <w:ind w:firstLine="480" w:firstLineChars="200"/>
              <w:jc w:val="both"/>
              <w:rPr>
                <w:rFonts w:hint="default" w:ascii="Times New Roman" w:hAnsi="Times New Roman" w:cs="Times New Roman"/>
                <w:color w:val="auto"/>
                <w:sz w:val="24"/>
              </w:rPr>
            </w:pPr>
            <w:r>
              <w:rPr>
                <w:rFonts w:hint="eastAsia" w:cs="Times New Roman"/>
                <w:color w:val="auto"/>
                <w:sz w:val="24"/>
                <w:lang w:val="en-US" w:eastAsia="zh-CN"/>
              </w:rPr>
              <w:t>1、</w:t>
            </w:r>
            <w:r>
              <w:rPr>
                <w:rFonts w:hint="default" w:ascii="Times New Roman" w:hAnsi="Times New Roman" w:cs="Times New Roman"/>
                <w:color w:val="auto"/>
                <w:sz w:val="24"/>
              </w:rPr>
              <w:t>声环境敏感点调查</w:t>
            </w:r>
          </w:p>
          <w:p w14:paraId="29B28E46">
            <w:pPr>
              <w:pStyle w:val="23"/>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本次调查针</w:t>
            </w:r>
            <w:r>
              <w:rPr>
                <w:rFonts w:hint="default" w:ascii="Times New Roman" w:hAnsi="Times New Roman" w:cs="Times New Roman"/>
                <w:color w:val="auto"/>
                <w:sz w:val="24"/>
                <w:lang w:eastAsia="zh-CN"/>
              </w:rPr>
              <w:t>对</w:t>
            </w:r>
            <w:r>
              <w:rPr>
                <w:rFonts w:hint="default" w:ascii="Times New Roman" w:hAnsi="Times New Roman" w:cs="Times New Roman"/>
                <w:color w:val="auto"/>
                <w:sz w:val="24"/>
              </w:rPr>
              <w:t>声环境敏感点进行调查，主要为矿界</w:t>
            </w:r>
            <w:r>
              <w:rPr>
                <w:rFonts w:hint="default" w:ascii="Times New Roman" w:hAnsi="Times New Roman" w:cs="Times New Roman"/>
                <w:color w:val="auto"/>
                <w:sz w:val="24"/>
                <w:lang w:val="en-US" w:eastAsia="zh-CN"/>
              </w:rPr>
              <w:t>附近的居民点</w:t>
            </w:r>
            <w:r>
              <w:rPr>
                <w:rFonts w:hint="default" w:ascii="Times New Roman" w:hAnsi="Times New Roman" w:cs="Times New Roman"/>
                <w:color w:val="auto"/>
                <w:sz w:val="24"/>
              </w:rPr>
              <w:t>。</w:t>
            </w:r>
          </w:p>
          <w:p w14:paraId="23CC932F">
            <w:pPr>
              <w:pStyle w:val="23"/>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color w:val="auto"/>
                <w:sz w:val="24"/>
              </w:rPr>
              <w:t>经过现场调查确认</w:t>
            </w:r>
            <w:r>
              <w:rPr>
                <w:rFonts w:hint="eastAsia" w:cs="Times New Roman"/>
                <w:color w:val="auto"/>
                <w:sz w:val="24"/>
                <w:lang w:eastAsia="zh-CN"/>
              </w:rPr>
              <w:t>，</w:t>
            </w:r>
            <w:r>
              <w:rPr>
                <w:rFonts w:hint="default" w:ascii="Times New Roman" w:hAnsi="Times New Roman" w:cs="Times New Roman"/>
                <w:color w:val="auto"/>
                <w:sz w:val="24"/>
              </w:rPr>
              <w:t>项目矿界外</w:t>
            </w:r>
            <w:r>
              <w:rPr>
                <w:rFonts w:hint="eastAsia" w:ascii="Times New Roman" w:hAnsi="Times New Roman" w:cs="Times New Roman"/>
                <w:color w:val="auto"/>
                <w:sz w:val="24"/>
                <w:lang w:val="en-US" w:eastAsia="zh-CN"/>
              </w:rPr>
              <w:t>200</w:t>
            </w:r>
            <w:r>
              <w:rPr>
                <w:rFonts w:hint="default" w:ascii="Times New Roman" w:hAnsi="Times New Roman" w:cs="Times New Roman"/>
                <w:color w:val="auto"/>
                <w:sz w:val="24"/>
              </w:rPr>
              <w:t>m范围内无环境保护目标</w:t>
            </w:r>
            <w:r>
              <w:rPr>
                <w:rFonts w:hint="default" w:ascii="Times New Roman" w:hAnsi="Times New Roman" w:cs="Times New Roman"/>
                <w:color w:val="auto"/>
                <w:sz w:val="24"/>
                <w:lang w:val="en-US" w:eastAsia="zh-CN"/>
              </w:rPr>
              <w:t>。</w:t>
            </w:r>
          </w:p>
          <w:p w14:paraId="51733865">
            <w:pPr>
              <w:pStyle w:val="23"/>
              <w:tabs>
                <w:tab w:val="left" w:pos="1191"/>
              </w:tabs>
              <w:spacing w:line="360" w:lineRule="auto"/>
              <w:ind w:firstLine="480" w:firstLineChars="200"/>
              <w:jc w:val="both"/>
              <w:rPr>
                <w:rFonts w:hint="default" w:ascii="Times New Roman" w:hAnsi="Times New Roman" w:cs="Times New Roman"/>
                <w:sz w:val="24"/>
              </w:rPr>
            </w:pPr>
            <w:r>
              <w:rPr>
                <w:rFonts w:hint="eastAsia" w:cs="Times New Roman"/>
                <w:sz w:val="24"/>
                <w:lang w:val="en-US" w:eastAsia="zh-CN"/>
              </w:rPr>
              <w:t>2、</w:t>
            </w:r>
            <w:r>
              <w:rPr>
                <w:rFonts w:hint="default" w:ascii="Times New Roman" w:hAnsi="Times New Roman" w:cs="Times New Roman"/>
                <w:sz w:val="24"/>
                <w:lang w:eastAsia="zh-CN"/>
              </w:rPr>
              <w:t>噪声</w:t>
            </w:r>
            <w:r>
              <w:rPr>
                <w:rFonts w:hint="default" w:ascii="Times New Roman" w:hAnsi="Times New Roman" w:cs="Times New Roman"/>
                <w:sz w:val="24"/>
              </w:rPr>
              <w:t>处理情况调查</w:t>
            </w:r>
          </w:p>
          <w:p w14:paraId="7B025880">
            <w:pPr>
              <w:pStyle w:val="23"/>
              <w:tabs>
                <w:tab w:val="left" w:pos="1194"/>
              </w:tabs>
              <w:spacing w:before="1" w:line="360" w:lineRule="auto"/>
              <w:ind w:firstLine="480" w:firstLineChars="200"/>
              <w:jc w:val="both"/>
              <w:rPr>
                <w:rFonts w:hint="default" w:ascii="Times New Roman" w:hAnsi="Times New Roman" w:cs="Times New Roman"/>
                <w:bCs/>
                <w:color w:val="000000"/>
                <w:kern w:val="2"/>
                <w:sz w:val="24"/>
                <w:szCs w:val="24"/>
                <w:lang w:val="en-US" w:eastAsia="zh-CN" w:bidi="ar-SA"/>
              </w:rPr>
            </w:pPr>
            <w:r>
              <w:rPr>
                <w:rFonts w:hint="default" w:ascii="Times New Roman" w:hAnsi="Times New Roman" w:cs="Times New Roman"/>
                <w:bCs/>
                <w:color w:val="000000"/>
                <w:kern w:val="2"/>
                <w:sz w:val="24"/>
                <w:szCs w:val="24"/>
                <w:lang w:val="en-US" w:bidi="ar-SA"/>
              </w:rPr>
              <w:t>项目噪声主要为</w:t>
            </w:r>
            <w:r>
              <w:rPr>
                <w:rFonts w:hint="default" w:ascii="Times New Roman" w:hAnsi="Times New Roman" w:cs="Times New Roman"/>
                <w:bCs/>
                <w:color w:val="000000"/>
                <w:kern w:val="2"/>
                <w:sz w:val="24"/>
                <w:szCs w:val="24"/>
                <w:lang w:val="en-US" w:eastAsia="zh-CN" w:bidi="ar-SA"/>
              </w:rPr>
              <w:t>机械设备噪声、运输车辆噪声。</w:t>
            </w:r>
          </w:p>
          <w:p w14:paraId="4AC309B1">
            <w:pPr>
              <w:keepNext w:val="0"/>
              <w:keepLines w:val="0"/>
              <w:pageBreakBefore w:val="0"/>
              <w:widowControl w:val="0"/>
              <w:kinsoku/>
              <w:wordWrap/>
              <w:overflowPunct/>
              <w:topLinePunct w:val="0"/>
              <w:autoSpaceDE w:val="0"/>
              <w:autoSpaceDN w:val="0"/>
              <w:bidi w:val="0"/>
              <w:adjustRightInd/>
              <w:snapToGrid/>
              <w:spacing w:line="360" w:lineRule="auto"/>
              <w:ind w:left="523" w:leftChars="218" w:firstLine="0" w:firstLineChars="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采取的措施主要包括：</w:t>
            </w:r>
          </w:p>
          <w:p w14:paraId="0FF31AD6">
            <w:pPr>
              <w:tabs>
                <w:tab w:val="left" w:pos="1680"/>
                <w:tab w:val="left" w:pos="8607"/>
              </w:tabs>
              <w:snapToGrid w:val="0"/>
              <w:spacing w:line="360" w:lineRule="auto"/>
              <w:ind w:firstLine="470" w:firstLineChars="196"/>
              <w:jc w:val="left"/>
              <w:rPr>
                <w:rFonts w:hint="default" w:ascii="Times New Roman" w:hAnsi="Times New Roman" w:cs="Times New Roman"/>
                <w:bCs/>
                <w:color w:val="000000"/>
                <w:kern w:val="2"/>
                <w:sz w:val="24"/>
                <w:szCs w:val="24"/>
                <w:lang w:val="en-US" w:bidi="ar-SA"/>
              </w:rPr>
            </w:pPr>
            <w:r>
              <w:rPr>
                <w:rFonts w:hint="default" w:ascii="Times New Roman" w:hAnsi="Times New Roman" w:eastAsia="宋体" w:cs="Times New Roman"/>
                <w:b w:val="0"/>
                <w:color w:val="auto"/>
                <w:sz w:val="24"/>
                <w:szCs w:val="24"/>
                <w:lang w:val="en-US"/>
              </w:rPr>
              <w:t>选用低噪声设备，加强设备维护保养，保持良好的运行状态，产噪设备采取减振降噪措施；结合矿区终采区生态恢复和绿化，种植树木，组成降噪屏障，以达到降噪效果；使用性能良好的运输车辆，定期进行维修保养，合理规划运输路线及运输时段，避免夜间运输，经过村庄、单位等环境敏感点时应采取减速禁鸣措施。</w:t>
            </w:r>
          </w:p>
          <w:p w14:paraId="1CCBEA6C">
            <w:pPr>
              <w:pStyle w:val="23"/>
              <w:tabs>
                <w:tab w:val="left" w:pos="1194"/>
              </w:tabs>
              <w:spacing w:before="1" w:line="360" w:lineRule="auto"/>
              <w:ind w:firstLine="480" w:firstLineChars="200"/>
              <w:jc w:val="both"/>
              <w:rPr>
                <w:rFonts w:hint="default" w:ascii="Times New Roman" w:hAnsi="Times New Roman" w:cs="Times New Roman"/>
                <w:sz w:val="24"/>
              </w:rPr>
            </w:pPr>
            <w:r>
              <w:rPr>
                <w:rFonts w:hint="eastAsia" w:cs="Times New Roman"/>
                <w:sz w:val="24"/>
                <w:lang w:val="en-US" w:eastAsia="zh-CN"/>
              </w:rPr>
              <w:t>3、</w:t>
            </w:r>
            <w:r>
              <w:rPr>
                <w:rFonts w:hint="default" w:ascii="Times New Roman" w:hAnsi="Times New Roman" w:cs="Times New Roman"/>
                <w:sz w:val="24"/>
              </w:rPr>
              <w:t>声环境影响调查结论</w:t>
            </w:r>
          </w:p>
          <w:p w14:paraId="41CBD520">
            <w:pPr>
              <w:pStyle w:val="23"/>
              <w:tabs>
                <w:tab w:val="left" w:pos="1191"/>
              </w:tabs>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lang w:eastAsia="zh-CN"/>
              </w:rPr>
              <w:t>我公司</w:t>
            </w:r>
            <w:r>
              <w:rPr>
                <w:rFonts w:hint="default" w:ascii="Times New Roman" w:hAnsi="Times New Roman" w:cs="Times New Roman"/>
                <w:sz w:val="24"/>
              </w:rPr>
              <w:t>根据环境影响报告表及其批复的要求，落实了各项噪声保护措施，</w:t>
            </w:r>
            <w:r>
              <w:rPr>
                <w:rFonts w:hint="default" w:ascii="Times New Roman" w:hAnsi="Times New Roman" w:cs="Times New Roman"/>
                <w:sz w:val="24"/>
                <w:lang w:eastAsia="zh-CN"/>
              </w:rPr>
              <w:t>项目</w:t>
            </w:r>
            <w:r>
              <w:rPr>
                <w:rFonts w:hint="default" w:ascii="Times New Roman" w:hAnsi="Times New Roman" w:cs="Times New Roman"/>
                <w:sz w:val="24"/>
              </w:rPr>
              <w:t>未对周边环境和敏感点造成明显</w:t>
            </w:r>
            <w:r>
              <w:rPr>
                <w:rFonts w:hint="default" w:ascii="Times New Roman" w:hAnsi="Times New Roman" w:cs="Times New Roman"/>
                <w:sz w:val="24"/>
                <w:lang w:val="en-US" w:eastAsia="zh-CN"/>
              </w:rPr>
              <w:t>的</w:t>
            </w:r>
            <w:r>
              <w:rPr>
                <w:rFonts w:hint="default" w:ascii="Times New Roman" w:hAnsi="Times New Roman" w:cs="Times New Roman"/>
                <w:sz w:val="24"/>
              </w:rPr>
              <w:t>环境影响，未</w:t>
            </w:r>
            <w:r>
              <w:rPr>
                <w:rFonts w:hint="default" w:ascii="Times New Roman" w:hAnsi="Times New Roman" w:cs="Times New Roman"/>
                <w:sz w:val="24"/>
                <w:lang w:val="en-US" w:eastAsia="zh-CN"/>
              </w:rPr>
              <w:t>收到</w:t>
            </w:r>
            <w:r>
              <w:rPr>
                <w:rFonts w:hint="default" w:ascii="Times New Roman" w:hAnsi="Times New Roman" w:cs="Times New Roman"/>
                <w:sz w:val="24"/>
              </w:rPr>
              <w:t>附近居民关于环境污染的</w:t>
            </w:r>
            <w:r>
              <w:rPr>
                <w:rFonts w:hint="default" w:ascii="Times New Roman" w:hAnsi="Times New Roman" w:cs="Times New Roman"/>
                <w:sz w:val="24"/>
                <w:lang w:val="en-US" w:eastAsia="zh-CN"/>
              </w:rPr>
              <w:t>投诉</w:t>
            </w:r>
            <w:r>
              <w:rPr>
                <w:rFonts w:hint="default" w:ascii="Times New Roman" w:hAnsi="Times New Roman" w:cs="Times New Roman"/>
                <w:sz w:val="24"/>
              </w:rPr>
              <w:t>。</w:t>
            </w:r>
          </w:p>
          <w:p w14:paraId="5A847C9A">
            <w:pPr>
              <w:pStyle w:val="23"/>
              <w:spacing w:line="360" w:lineRule="auto"/>
              <w:jc w:val="both"/>
              <w:rPr>
                <w:rFonts w:hint="default" w:ascii="Times New Roman" w:hAnsi="Times New Roman" w:cs="Times New Roman"/>
                <w:b/>
                <w:sz w:val="24"/>
              </w:rPr>
            </w:pPr>
            <w:r>
              <w:rPr>
                <w:rFonts w:hint="eastAsia" w:cs="Times New Roman"/>
                <w:b/>
                <w:sz w:val="24"/>
                <w:lang w:eastAsia="zh-CN"/>
              </w:rPr>
              <w:t>（</w:t>
            </w:r>
            <w:r>
              <w:rPr>
                <w:rFonts w:hint="eastAsia" w:cs="Times New Roman"/>
                <w:b/>
                <w:sz w:val="24"/>
                <w:lang w:val="en-US" w:eastAsia="zh-CN"/>
              </w:rPr>
              <w:t>四</w:t>
            </w:r>
            <w:r>
              <w:rPr>
                <w:rFonts w:hint="eastAsia" w:cs="Times New Roman"/>
                <w:b/>
                <w:sz w:val="24"/>
                <w:lang w:eastAsia="zh-CN"/>
              </w:rPr>
              <w:t>）</w:t>
            </w:r>
            <w:r>
              <w:rPr>
                <w:rFonts w:hint="default" w:ascii="Times New Roman" w:hAnsi="Times New Roman" w:cs="Times New Roman"/>
                <w:b/>
                <w:sz w:val="24"/>
              </w:rPr>
              <w:t>固体废物</w:t>
            </w:r>
          </w:p>
          <w:p w14:paraId="595022C8">
            <w:pPr>
              <w:pStyle w:val="23"/>
              <w:tabs>
                <w:tab w:val="left" w:pos="1194"/>
              </w:tabs>
              <w:spacing w:before="1" w:line="360" w:lineRule="auto"/>
              <w:ind w:firstLine="480" w:firstLineChars="200"/>
              <w:jc w:val="both"/>
              <w:rPr>
                <w:rFonts w:hint="default" w:ascii="Times New Roman" w:hAnsi="Times New Roman" w:cs="Times New Roman"/>
                <w:sz w:val="24"/>
              </w:rPr>
            </w:pPr>
            <w:r>
              <w:rPr>
                <w:rFonts w:hint="eastAsia" w:cs="Times New Roman"/>
                <w:sz w:val="24"/>
                <w:lang w:val="en-US" w:eastAsia="zh-CN"/>
              </w:rPr>
              <w:t>1、</w:t>
            </w:r>
            <w:r>
              <w:rPr>
                <w:rFonts w:hint="default" w:ascii="Times New Roman" w:hAnsi="Times New Roman" w:cs="Times New Roman"/>
                <w:sz w:val="24"/>
              </w:rPr>
              <w:t>固体废物产生情况调查</w:t>
            </w:r>
          </w:p>
          <w:p w14:paraId="4D58290A">
            <w:pPr>
              <w:pStyle w:val="23"/>
              <w:tabs>
                <w:tab w:val="left" w:pos="1191"/>
              </w:tabs>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根据现场调查，项目固体废物主要</w:t>
            </w:r>
            <w:r>
              <w:rPr>
                <w:rFonts w:hint="default" w:ascii="Times New Roman" w:hAnsi="Times New Roman" w:cs="Times New Roman"/>
                <w:sz w:val="24"/>
                <w:lang w:eastAsia="zh-CN"/>
              </w:rPr>
              <w:t>为</w:t>
            </w:r>
            <w:r>
              <w:rPr>
                <w:rFonts w:hint="default" w:ascii="Times New Roman" w:hAnsi="Times New Roman" w:cs="Times New Roman"/>
                <w:sz w:val="24"/>
                <w:lang w:val="en-US" w:eastAsia="zh-CN"/>
              </w:rPr>
              <w:t>生活垃圾、剥离的表土和风化层、废料、含油废手套及废抹布、</w:t>
            </w:r>
            <w:r>
              <w:rPr>
                <w:rFonts w:hint="eastAsia" w:cs="Times New Roman"/>
                <w:sz w:val="24"/>
                <w:lang w:val="en-US" w:eastAsia="zh-CN"/>
              </w:rPr>
              <w:t>沉淀池污泥</w:t>
            </w:r>
            <w:r>
              <w:rPr>
                <w:rFonts w:hint="default" w:ascii="Times New Roman" w:hAnsi="Times New Roman" w:cs="Times New Roman"/>
                <w:sz w:val="24"/>
                <w:lang w:val="en-US" w:eastAsia="zh-CN"/>
              </w:rPr>
              <w:t>、废机油。</w:t>
            </w:r>
          </w:p>
          <w:p w14:paraId="489D0388">
            <w:pPr>
              <w:pStyle w:val="23"/>
              <w:tabs>
                <w:tab w:val="left" w:pos="1194"/>
              </w:tabs>
              <w:spacing w:before="1" w:line="360" w:lineRule="auto"/>
              <w:ind w:firstLine="480" w:firstLineChars="200"/>
              <w:jc w:val="both"/>
              <w:rPr>
                <w:rFonts w:hint="default" w:ascii="Times New Roman" w:hAnsi="Times New Roman" w:cs="Times New Roman"/>
                <w:sz w:val="24"/>
              </w:rPr>
            </w:pPr>
            <w:r>
              <w:rPr>
                <w:rFonts w:hint="eastAsia" w:cs="Times New Roman"/>
                <w:sz w:val="24"/>
                <w:lang w:val="en-US" w:eastAsia="zh-CN"/>
              </w:rPr>
              <w:t>2、</w:t>
            </w:r>
            <w:r>
              <w:rPr>
                <w:rFonts w:hint="default" w:ascii="Times New Roman" w:hAnsi="Times New Roman" w:cs="Times New Roman"/>
                <w:sz w:val="24"/>
              </w:rPr>
              <w:t>固体废物处置情况调查</w:t>
            </w:r>
          </w:p>
          <w:p w14:paraId="406F1A82">
            <w:pPr>
              <w:pStyle w:val="23"/>
              <w:tabs>
                <w:tab w:val="left" w:pos="1194"/>
              </w:tabs>
              <w:spacing w:before="1"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根据现场踏勘，</w:t>
            </w:r>
            <w:r>
              <w:rPr>
                <w:rFonts w:hint="default" w:ascii="Times New Roman" w:hAnsi="Times New Roman" w:eastAsia="宋体" w:cs="Times New Roman"/>
                <w:sz w:val="24"/>
                <w:lang w:val="en-US" w:eastAsia="zh-CN"/>
              </w:rPr>
              <w:t>生活垃圾交环卫部门处理</w:t>
            </w:r>
            <w:r>
              <w:rPr>
                <w:rFonts w:hint="eastAsia" w:ascii="Times New Roman" w:hAnsi="Times New Roman" w:eastAsia="宋体" w:cs="Times New Roman"/>
                <w:sz w:val="24"/>
                <w:lang w:val="en-US" w:eastAsia="zh-CN"/>
              </w:rPr>
              <w:t>；表土用于矿山开采及闭坑后复垦复绿；风化层、废料由山下碎石加工企业直接运输至建筑石料加工场地</w:t>
            </w:r>
            <w:r>
              <w:rPr>
                <w:rFonts w:hint="eastAsia" w:ascii="Times New Roman" w:hAnsi="Times New Roman" w:cs="Times New Roman"/>
                <w:sz w:val="24"/>
                <w:lang w:val="en-US" w:eastAsia="zh-CN"/>
              </w:rPr>
              <w:t>；</w:t>
            </w:r>
            <w:r>
              <w:rPr>
                <w:rFonts w:hint="eastAsia" w:cs="Times New Roman"/>
                <w:sz w:val="24"/>
                <w:lang w:val="en-US" w:eastAsia="zh-CN"/>
              </w:rPr>
              <w:t>沉淀池污泥压滤成</w:t>
            </w:r>
            <w:r>
              <w:rPr>
                <w:rFonts w:hint="eastAsia" w:ascii="Times New Roman" w:hAnsi="Times New Roman" w:cs="Times New Roman"/>
                <w:sz w:val="24"/>
                <w:lang w:val="en-US" w:eastAsia="zh-CN"/>
              </w:rPr>
              <w:t>泥饼作为建筑材料外售；</w:t>
            </w:r>
            <w:r>
              <w:rPr>
                <w:rFonts w:hint="eastAsia" w:ascii="Times New Roman" w:hAnsi="Times New Roman" w:cs="Times New Roman"/>
                <w:sz w:val="24"/>
                <w:lang w:val="en-US" w:eastAsia="zh-CN"/>
              </w:rPr>
              <w:t>含油废手套及废抹布、</w:t>
            </w:r>
            <w:r>
              <w:rPr>
                <w:rFonts w:hint="eastAsia" w:ascii="Times New Roman" w:hAnsi="Times New Roman" w:cs="Times New Roman"/>
                <w:sz w:val="24"/>
                <w:lang w:val="en-US" w:eastAsia="zh-CN"/>
              </w:rPr>
              <w:t>废机油暂存于危废暂存间，交由有资质单位处置</w:t>
            </w:r>
            <w:r>
              <w:rPr>
                <w:rFonts w:hint="default" w:ascii="Times New Roman" w:hAnsi="Times New Roman" w:cs="Times New Roman"/>
                <w:sz w:val="24"/>
                <w:szCs w:val="24"/>
                <w:lang w:eastAsia="zh-CN"/>
              </w:rPr>
              <w:t>。</w:t>
            </w:r>
          </w:p>
          <w:p w14:paraId="3B157686">
            <w:pPr>
              <w:pStyle w:val="23"/>
              <w:tabs>
                <w:tab w:val="left" w:pos="1194"/>
              </w:tabs>
              <w:spacing w:before="1" w:line="360" w:lineRule="auto"/>
              <w:ind w:firstLine="480" w:firstLineChars="200"/>
              <w:jc w:val="both"/>
              <w:rPr>
                <w:rFonts w:hint="default" w:ascii="Times New Roman" w:hAnsi="Times New Roman" w:cs="Times New Roman"/>
                <w:sz w:val="24"/>
              </w:rPr>
            </w:pPr>
            <w:r>
              <w:rPr>
                <w:rFonts w:hint="eastAsia" w:cs="Times New Roman"/>
                <w:sz w:val="24"/>
                <w:lang w:val="en-US" w:eastAsia="zh-CN"/>
              </w:rPr>
              <w:t>3、</w:t>
            </w:r>
            <w:r>
              <w:rPr>
                <w:rFonts w:hint="default" w:ascii="Times New Roman" w:hAnsi="Times New Roman" w:cs="Times New Roman"/>
                <w:sz w:val="24"/>
              </w:rPr>
              <w:t>固体废物污染环境调查结论</w:t>
            </w:r>
          </w:p>
          <w:p w14:paraId="252F4BE7">
            <w:pPr>
              <w:pStyle w:val="23"/>
              <w:tabs>
                <w:tab w:val="left" w:pos="1194"/>
              </w:tabs>
              <w:spacing w:before="1" w:line="360" w:lineRule="auto"/>
              <w:ind w:firstLine="480" w:firstLineChars="200"/>
              <w:jc w:val="both"/>
              <w:rPr>
                <w:rFonts w:hint="default" w:ascii="Times New Roman" w:hAnsi="Times New Roman" w:cs="Times New Roman"/>
                <w:color w:val="FF0000"/>
                <w:sz w:val="24"/>
              </w:rPr>
            </w:pPr>
            <w:r>
              <w:rPr>
                <w:rFonts w:hint="default" w:ascii="Times New Roman" w:hAnsi="Times New Roman" w:cs="Times New Roman"/>
                <w:sz w:val="24"/>
                <w:lang w:eastAsia="zh-CN"/>
              </w:rPr>
              <w:t>我公司</w:t>
            </w:r>
            <w:r>
              <w:rPr>
                <w:rFonts w:hint="default" w:ascii="Times New Roman" w:hAnsi="Times New Roman" w:cs="Times New Roman"/>
                <w:sz w:val="24"/>
              </w:rPr>
              <w:t>根据环境影响报告表及其批复的要求，落实了各项</w:t>
            </w:r>
            <w:r>
              <w:rPr>
                <w:rFonts w:hint="eastAsia" w:ascii="Times New Roman" w:hAnsi="Times New Roman" w:cs="Times New Roman"/>
                <w:sz w:val="24"/>
                <w:lang w:val="en-US" w:eastAsia="zh-CN"/>
              </w:rPr>
              <w:t>固体废物</w:t>
            </w:r>
            <w:r>
              <w:rPr>
                <w:rFonts w:hint="default" w:ascii="Times New Roman" w:hAnsi="Times New Roman" w:cs="Times New Roman"/>
                <w:sz w:val="24"/>
              </w:rPr>
              <w:t>处置措施，</w:t>
            </w:r>
            <w:r>
              <w:rPr>
                <w:rFonts w:hint="default" w:ascii="Times New Roman" w:hAnsi="Times New Roman" w:cs="Times New Roman"/>
                <w:sz w:val="24"/>
                <w:lang w:eastAsia="zh-CN"/>
              </w:rPr>
              <w:t>项目</w:t>
            </w:r>
            <w:r>
              <w:rPr>
                <w:rFonts w:hint="default" w:ascii="Times New Roman" w:hAnsi="Times New Roman" w:cs="Times New Roman"/>
                <w:sz w:val="24"/>
              </w:rPr>
              <w:t>未对周边环境和敏感点造成环境影响。</w:t>
            </w:r>
          </w:p>
        </w:tc>
      </w:tr>
      <w:tr w14:paraId="3010B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0" w:hRule="atLeast"/>
          <w:jc w:val="center"/>
        </w:trPr>
        <w:tc>
          <w:tcPr>
            <w:tcW w:w="256" w:type="pct"/>
            <w:vMerge w:val="continue"/>
            <w:noWrap w:val="0"/>
            <w:vAlign w:val="center"/>
          </w:tcPr>
          <w:p w14:paraId="0D7FF402">
            <w:pPr>
              <w:pStyle w:val="23"/>
              <w:jc w:val="center"/>
              <w:rPr>
                <w:rFonts w:hint="default" w:ascii="Times New Roman" w:hAnsi="Times New Roman" w:cs="Times New Roman"/>
                <w:color w:val="FF0000"/>
                <w:sz w:val="28"/>
              </w:rPr>
            </w:pPr>
          </w:p>
        </w:tc>
        <w:tc>
          <w:tcPr>
            <w:tcW w:w="396" w:type="pct"/>
            <w:noWrap w:val="0"/>
            <w:vAlign w:val="center"/>
          </w:tcPr>
          <w:p w14:paraId="0DA2A9CB">
            <w:pPr>
              <w:pStyle w:val="23"/>
              <w:jc w:val="center"/>
              <w:rPr>
                <w:rFonts w:hint="default" w:ascii="Times New Roman" w:hAnsi="Times New Roman" w:cs="Times New Roman"/>
                <w:sz w:val="24"/>
              </w:rPr>
            </w:pPr>
            <w:r>
              <w:rPr>
                <w:rFonts w:hint="default" w:ascii="Times New Roman" w:hAnsi="Times New Roman" w:cs="Times New Roman"/>
                <w:sz w:val="24"/>
              </w:rPr>
              <w:t>社</w:t>
            </w:r>
          </w:p>
          <w:p w14:paraId="08DAA542">
            <w:pPr>
              <w:pStyle w:val="23"/>
              <w:jc w:val="center"/>
              <w:rPr>
                <w:rFonts w:hint="default" w:ascii="Times New Roman" w:hAnsi="Times New Roman" w:cs="Times New Roman"/>
                <w:sz w:val="24"/>
              </w:rPr>
            </w:pPr>
            <w:r>
              <w:rPr>
                <w:rFonts w:hint="default" w:ascii="Times New Roman" w:hAnsi="Times New Roman" w:cs="Times New Roman"/>
                <w:sz w:val="24"/>
              </w:rPr>
              <w:t>会</w:t>
            </w:r>
          </w:p>
          <w:p w14:paraId="3CA38D62">
            <w:pPr>
              <w:pStyle w:val="23"/>
              <w:jc w:val="center"/>
              <w:rPr>
                <w:rFonts w:hint="default" w:ascii="Times New Roman" w:hAnsi="Times New Roman" w:cs="Times New Roman"/>
                <w:sz w:val="24"/>
              </w:rPr>
            </w:pPr>
            <w:r>
              <w:rPr>
                <w:rFonts w:hint="default" w:ascii="Times New Roman" w:hAnsi="Times New Roman" w:cs="Times New Roman"/>
                <w:sz w:val="24"/>
              </w:rPr>
              <w:t>环</w:t>
            </w:r>
          </w:p>
          <w:p w14:paraId="790E4172">
            <w:pPr>
              <w:pStyle w:val="23"/>
              <w:jc w:val="center"/>
              <w:rPr>
                <w:rFonts w:hint="default" w:ascii="Times New Roman" w:hAnsi="Times New Roman" w:cs="Times New Roman"/>
                <w:color w:val="FF0000"/>
                <w:sz w:val="24"/>
              </w:rPr>
            </w:pPr>
            <w:r>
              <w:rPr>
                <w:rFonts w:hint="default" w:ascii="Times New Roman" w:hAnsi="Times New Roman" w:cs="Times New Roman"/>
                <w:sz w:val="24"/>
              </w:rPr>
              <w:t>境</w:t>
            </w:r>
          </w:p>
        </w:tc>
        <w:tc>
          <w:tcPr>
            <w:tcW w:w="4347" w:type="pct"/>
            <w:noWrap w:val="0"/>
            <w:vAlign w:val="top"/>
          </w:tcPr>
          <w:p w14:paraId="52173CF4">
            <w:pPr>
              <w:pStyle w:val="23"/>
              <w:tabs>
                <w:tab w:val="left" w:pos="1194"/>
              </w:tabs>
              <w:spacing w:before="1" w:line="360" w:lineRule="auto"/>
              <w:ind w:firstLine="480" w:firstLineChars="200"/>
              <w:jc w:val="both"/>
              <w:rPr>
                <w:rFonts w:hint="default" w:ascii="Times New Roman" w:hAnsi="Times New Roman" w:cs="Times New Roman"/>
                <w:sz w:val="24"/>
                <w:lang w:val="en-US" w:eastAsia="zh-CN"/>
              </w:rPr>
            </w:pPr>
            <w:r>
              <w:rPr>
                <w:rFonts w:hint="default" w:ascii="Times New Roman" w:hAnsi="Times New Roman" w:cs="Times New Roman"/>
                <w:sz w:val="24"/>
              </w:rPr>
              <w:t>调查期间，本项目尊重当地民俗，保障当地群众饮用水安全，切实采取措施确保不影响当地群众正常的生产生活，并与当地政府积极协调配合，加强周边人文景观及自然景观的保护。本项目在运营期间未产生不良社会影响</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同时项目的运行将带动了当地的经济发展和人员就业。</w:t>
            </w:r>
          </w:p>
          <w:p w14:paraId="5422E943">
            <w:pPr>
              <w:pStyle w:val="23"/>
              <w:tabs>
                <w:tab w:val="left" w:pos="1194"/>
              </w:tabs>
              <w:spacing w:before="1" w:line="360" w:lineRule="auto"/>
              <w:ind w:firstLine="480" w:firstLineChars="200"/>
              <w:jc w:val="both"/>
              <w:rPr>
                <w:rFonts w:hint="default" w:ascii="Times New Roman" w:hAnsi="Times New Roman" w:cs="Times New Roman"/>
                <w:sz w:val="24"/>
                <w:lang w:val="en-US" w:eastAsia="zh-CN"/>
              </w:rPr>
            </w:pPr>
          </w:p>
          <w:p w14:paraId="50083CA6">
            <w:pPr>
              <w:pStyle w:val="23"/>
              <w:tabs>
                <w:tab w:val="left" w:pos="1194"/>
              </w:tabs>
              <w:spacing w:before="1" w:line="360" w:lineRule="auto"/>
              <w:ind w:firstLine="480" w:firstLineChars="200"/>
              <w:jc w:val="both"/>
              <w:rPr>
                <w:rFonts w:hint="default" w:ascii="Times New Roman" w:hAnsi="Times New Roman" w:cs="Times New Roman"/>
                <w:sz w:val="24"/>
                <w:lang w:val="en-US" w:eastAsia="zh-CN"/>
              </w:rPr>
            </w:pPr>
          </w:p>
          <w:p w14:paraId="73A637B0">
            <w:pPr>
              <w:pStyle w:val="23"/>
              <w:tabs>
                <w:tab w:val="left" w:pos="1194"/>
              </w:tabs>
              <w:spacing w:before="1" w:line="360" w:lineRule="auto"/>
              <w:ind w:firstLine="480" w:firstLineChars="200"/>
              <w:jc w:val="both"/>
              <w:rPr>
                <w:rFonts w:hint="default" w:ascii="Times New Roman" w:hAnsi="Times New Roman" w:cs="Times New Roman"/>
                <w:sz w:val="24"/>
                <w:lang w:val="en-US" w:eastAsia="zh-CN"/>
              </w:rPr>
            </w:pPr>
          </w:p>
        </w:tc>
      </w:tr>
    </w:tbl>
    <w:p w14:paraId="152AEC79">
      <w:pPr>
        <w:spacing w:line="460" w:lineRule="atLeast"/>
        <w:jc w:val="both"/>
        <w:rPr>
          <w:rFonts w:hint="default" w:ascii="Times New Roman" w:hAnsi="Times New Roman" w:cs="Times New Roman"/>
          <w:sz w:val="24"/>
        </w:rPr>
        <w:sectPr>
          <w:pgSz w:w="11911" w:h="16838"/>
          <w:pgMar w:top="1440" w:right="1361" w:bottom="1440" w:left="1361" w:header="964" w:footer="918" w:gutter="0"/>
          <w:pgBorders>
            <w:top w:val="none" w:sz="0" w:space="0"/>
            <w:left w:val="none" w:sz="0" w:space="0"/>
            <w:bottom w:val="none" w:sz="0" w:space="0"/>
            <w:right w:val="none" w:sz="0" w:space="0"/>
          </w:pgBorders>
          <w:pgNumType w:fmt="decimal"/>
          <w:cols w:space="720" w:num="1"/>
          <w:rtlGutter w:val="0"/>
          <w:docGrid w:linePitch="0" w:charSpace="0"/>
        </w:sectPr>
      </w:pPr>
    </w:p>
    <w:p w14:paraId="4AFA9F55">
      <w:pPr>
        <w:rPr>
          <w:rFonts w:hint="default" w:ascii="Times New Roman" w:hAnsi="Times New Roman" w:cs="Times New Roman"/>
          <w:sz w:val="2"/>
          <w:szCs w:val="2"/>
        </w:rPr>
      </w:pPr>
    </w:p>
    <w:p w14:paraId="5D0B0315">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kern w:val="0"/>
          <w:sz w:val="32"/>
          <w:szCs w:val="56"/>
          <w:lang w:val="en-US" w:bidi="ar-SA"/>
        </w:rPr>
      </w:pPr>
      <w:bookmarkStart w:id="33" w:name="表8_环境质量及污染源监测"/>
      <w:bookmarkEnd w:id="33"/>
      <w:bookmarkStart w:id="34" w:name="_Toc4797"/>
      <w:bookmarkStart w:id="35" w:name="_Toc5346"/>
      <w:r>
        <w:rPr>
          <w:rFonts w:hint="default" w:ascii="Times New Roman" w:hAnsi="Times New Roman" w:eastAsia="宋体" w:cs="Times New Roman"/>
          <w:b/>
          <w:bCs/>
          <w:kern w:val="0"/>
          <w:sz w:val="32"/>
          <w:szCs w:val="56"/>
          <w:lang w:val="en-US" w:bidi="ar-SA"/>
        </w:rPr>
        <w:t>表8</w:t>
      </w:r>
      <w:r>
        <w:rPr>
          <w:rFonts w:hint="default" w:ascii="Times New Roman" w:hAnsi="Times New Roman" w:eastAsia="宋体" w:cs="Times New Roman"/>
          <w:b/>
          <w:bCs/>
          <w:kern w:val="0"/>
          <w:sz w:val="32"/>
          <w:szCs w:val="56"/>
          <w:lang w:val="en-US" w:eastAsia="zh-CN" w:bidi="ar-SA"/>
        </w:rPr>
        <w:t xml:space="preserve">  </w:t>
      </w:r>
      <w:r>
        <w:rPr>
          <w:rFonts w:hint="default" w:ascii="Times New Roman" w:hAnsi="Times New Roman" w:eastAsia="宋体" w:cs="Times New Roman"/>
          <w:b/>
          <w:bCs/>
          <w:kern w:val="0"/>
          <w:sz w:val="32"/>
          <w:szCs w:val="56"/>
          <w:lang w:val="en-US" w:bidi="ar-SA"/>
        </w:rPr>
        <w:t>环境质量及污染源监测</w:t>
      </w:r>
      <w:bookmarkEnd w:id="34"/>
      <w:bookmarkEnd w:id="35"/>
    </w:p>
    <w:tbl>
      <w:tblPr>
        <w:tblStyle w:val="17"/>
        <w:tblW w:w="522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613"/>
      </w:tblGrid>
      <w:tr w14:paraId="5AF01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noWrap w:val="0"/>
            <w:vAlign w:val="top"/>
          </w:tcPr>
          <w:p w14:paraId="74C82E20">
            <w:pPr>
              <w:pStyle w:val="23"/>
              <w:spacing w:line="360" w:lineRule="auto"/>
              <w:rPr>
                <w:rFonts w:hint="default" w:ascii="Times New Roman" w:hAnsi="Times New Roman" w:cs="Times New Roman"/>
                <w:b/>
                <w:sz w:val="28"/>
              </w:rPr>
            </w:pPr>
            <w:r>
              <w:rPr>
                <w:rFonts w:hint="default" w:ascii="Times New Roman" w:hAnsi="Times New Roman" w:cs="Times New Roman"/>
                <w:b/>
                <w:sz w:val="28"/>
              </w:rPr>
              <w:t>验收监测期间的工况</w:t>
            </w:r>
          </w:p>
          <w:p w14:paraId="49419D8E">
            <w:pPr>
              <w:pStyle w:val="23"/>
              <w:spacing w:line="360" w:lineRule="auto"/>
              <w:ind w:firstLine="472" w:firstLineChars="200"/>
              <w:jc w:val="both"/>
              <w:rPr>
                <w:rFonts w:hint="default" w:ascii="Times New Roman" w:hAnsi="Times New Roman" w:cs="Times New Roman"/>
                <w:sz w:val="24"/>
              </w:rPr>
            </w:pPr>
            <w:r>
              <w:rPr>
                <w:rFonts w:hint="default" w:ascii="Times New Roman" w:hAnsi="Times New Roman" w:cs="Times New Roman"/>
                <w:spacing w:val="-2"/>
                <w:sz w:val="24"/>
              </w:rPr>
              <w:t>验收期间，我</w:t>
            </w:r>
            <w:r>
              <w:rPr>
                <w:rFonts w:hint="eastAsia" w:ascii="Times New Roman" w:hAnsi="Times New Roman" w:cs="Times New Roman"/>
                <w:spacing w:val="-2"/>
                <w:sz w:val="24"/>
                <w:lang w:val="en-US" w:eastAsia="zh-CN"/>
              </w:rPr>
              <w:t>公司</w:t>
            </w:r>
            <w:r>
              <w:rPr>
                <w:rFonts w:hint="default" w:ascii="Times New Roman" w:hAnsi="Times New Roman" w:cs="Times New Roman"/>
                <w:spacing w:val="-2"/>
                <w:sz w:val="24"/>
              </w:rPr>
              <w:t>及时监督了工况，</w:t>
            </w:r>
            <w:r>
              <w:rPr>
                <w:rFonts w:hint="default" w:ascii="Times New Roman" w:hAnsi="Times New Roman" w:cs="Times New Roman"/>
                <w:spacing w:val="-6"/>
                <w:sz w:val="24"/>
              </w:rPr>
              <w:t>并保证</w:t>
            </w:r>
            <w:r>
              <w:rPr>
                <w:rFonts w:hint="eastAsia" w:ascii="Times New Roman" w:hAnsi="Times New Roman" w:cs="Times New Roman"/>
                <w:spacing w:val="-6"/>
                <w:sz w:val="24"/>
                <w:lang w:val="en-US" w:eastAsia="zh-CN"/>
              </w:rPr>
              <w:t>生产</w:t>
            </w:r>
            <w:r>
              <w:rPr>
                <w:rFonts w:hint="default" w:ascii="Times New Roman" w:hAnsi="Times New Roman" w:cs="Times New Roman"/>
                <w:spacing w:val="-6"/>
                <w:sz w:val="24"/>
              </w:rPr>
              <w:t>连续、稳定、正常运行，同</w:t>
            </w:r>
            <w:r>
              <w:rPr>
                <w:rFonts w:hint="default" w:ascii="Times New Roman" w:hAnsi="Times New Roman" w:cs="Times New Roman"/>
                <w:spacing w:val="-2"/>
                <w:sz w:val="24"/>
              </w:rPr>
              <w:t>时保证与项目配套的环保设施</w:t>
            </w:r>
            <w:r>
              <w:rPr>
                <w:rFonts w:hint="eastAsia" w:ascii="Times New Roman" w:hAnsi="Times New Roman" w:cs="Times New Roman"/>
                <w:spacing w:val="-2"/>
                <w:sz w:val="24"/>
                <w:lang w:val="en-US" w:eastAsia="zh-CN"/>
              </w:rPr>
              <w:t>的</w:t>
            </w:r>
            <w:r>
              <w:rPr>
                <w:rFonts w:hint="default" w:ascii="Times New Roman" w:hAnsi="Times New Roman" w:cs="Times New Roman"/>
                <w:spacing w:val="-2"/>
                <w:sz w:val="24"/>
              </w:rPr>
              <w:t>正常运行。</w:t>
            </w:r>
          </w:p>
        </w:tc>
      </w:tr>
      <w:tr w14:paraId="48E0F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7" w:hRule="atLeast"/>
          <w:jc w:val="center"/>
        </w:trPr>
        <w:tc>
          <w:tcPr>
            <w:tcW w:w="5000" w:type="pct"/>
            <w:noWrap w:val="0"/>
            <w:vAlign w:val="top"/>
          </w:tcPr>
          <w:p w14:paraId="7CCC6643">
            <w:pPr>
              <w:pStyle w:val="23"/>
              <w:spacing w:line="360" w:lineRule="auto"/>
              <w:rPr>
                <w:rFonts w:hint="default" w:ascii="Times New Roman" w:hAnsi="Times New Roman" w:cs="Times New Roman"/>
                <w:b/>
                <w:color w:val="auto"/>
                <w:sz w:val="28"/>
              </w:rPr>
            </w:pPr>
            <w:r>
              <w:rPr>
                <w:rFonts w:hint="default" w:ascii="Times New Roman" w:hAnsi="Times New Roman" w:cs="Times New Roman"/>
                <w:b/>
                <w:color w:val="auto"/>
                <w:sz w:val="28"/>
              </w:rPr>
              <w:t>质量保证和质量控制</w:t>
            </w:r>
          </w:p>
          <w:p w14:paraId="2545D345">
            <w:pPr>
              <w:pStyle w:val="23"/>
              <w:spacing w:line="360" w:lineRule="auto"/>
              <w:ind w:firstLine="452" w:firstLineChars="200"/>
              <w:jc w:val="both"/>
              <w:rPr>
                <w:rFonts w:hint="default" w:ascii="Times New Roman" w:hAnsi="Times New Roman" w:cs="Times New Roman"/>
                <w:color w:val="auto"/>
                <w:sz w:val="24"/>
              </w:rPr>
            </w:pPr>
            <w:r>
              <w:rPr>
                <w:rFonts w:hint="default" w:ascii="Times New Roman" w:hAnsi="Times New Roman" w:cs="Times New Roman"/>
                <w:color w:val="auto"/>
                <w:spacing w:val="-7"/>
                <w:sz w:val="24"/>
              </w:rPr>
              <w:t>为了确保监测数据的合理性、可靠性和准确性，必须对监测的全过程</w:t>
            </w:r>
            <w:r>
              <w:rPr>
                <w:rFonts w:hint="default" w:ascii="Times New Roman" w:hAnsi="Times New Roman" w:cs="Times New Roman"/>
                <w:color w:val="auto"/>
                <w:sz w:val="24"/>
              </w:rPr>
              <w:t>（包括布点、采样、样品贮运、实验室分析、数据处理等）进行质量控制。</w:t>
            </w:r>
          </w:p>
          <w:p w14:paraId="4333CC63">
            <w:pPr>
              <w:pStyle w:val="23"/>
              <w:spacing w:line="360" w:lineRule="auto"/>
              <w:ind w:firstLine="480" w:firstLineChars="200"/>
              <w:jc w:val="both"/>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本次检测所有采样、检测人员均持证上岗。</w:t>
            </w:r>
          </w:p>
          <w:p w14:paraId="5D07C679">
            <w:pPr>
              <w:pStyle w:val="23"/>
              <w:spacing w:line="360" w:lineRule="auto"/>
              <w:ind w:firstLine="480" w:firstLineChars="200"/>
              <w:jc w:val="both"/>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本次检测所使用仪器、设备均经计量检定，且在有效期内使用。</w:t>
            </w:r>
          </w:p>
          <w:p w14:paraId="657A55BC">
            <w:pPr>
              <w:pStyle w:val="23"/>
              <w:spacing w:line="360" w:lineRule="auto"/>
              <w:ind w:firstLine="480" w:firstLineChars="200"/>
              <w:jc w:val="both"/>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检测数据和报告实行三级审核制度。</w:t>
            </w:r>
          </w:p>
          <w:p w14:paraId="45A1E22D">
            <w:pPr>
              <w:pStyle w:val="23"/>
              <w:spacing w:line="360" w:lineRule="auto"/>
              <w:ind w:firstLine="480" w:firstLineChars="200"/>
              <w:jc w:val="both"/>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严格按照国家标准与技术规范实施检测。</w:t>
            </w:r>
          </w:p>
          <w:p w14:paraId="1395CB3D">
            <w:pPr>
              <w:pStyle w:val="23"/>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检测过程实行空白检测、重复检测、加标回收、控制样品分析等质控措施，确保检测数据的准确性。</w:t>
            </w:r>
          </w:p>
          <w:p w14:paraId="12FCE18B">
            <w:pPr>
              <w:pStyle w:val="23"/>
              <w:spacing w:line="360" w:lineRule="auto"/>
              <w:ind w:firstLine="460" w:firstLineChars="200"/>
              <w:jc w:val="both"/>
              <w:rPr>
                <w:rFonts w:hint="default" w:ascii="Times New Roman" w:hAnsi="Times New Roman" w:cs="Times New Roman"/>
                <w:color w:val="auto"/>
                <w:sz w:val="24"/>
              </w:rPr>
            </w:pPr>
            <w:r>
              <w:rPr>
                <w:rFonts w:hint="default" w:ascii="Times New Roman" w:hAnsi="Times New Roman" w:cs="Times New Roman"/>
                <w:color w:val="auto"/>
                <w:spacing w:val="-5"/>
                <w:sz w:val="24"/>
                <w:lang w:val="en-US" w:eastAsia="zh-CN"/>
              </w:rPr>
              <w:t>本项目采取的</w:t>
            </w:r>
            <w:r>
              <w:rPr>
                <w:rFonts w:hint="default" w:ascii="Times New Roman" w:hAnsi="Times New Roman" w:cs="Times New Roman"/>
                <w:color w:val="auto"/>
                <w:spacing w:val="-5"/>
                <w:sz w:val="24"/>
              </w:rPr>
              <w:t>检测分析方法和仪器详见表</w:t>
            </w:r>
            <w:r>
              <w:rPr>
                <w:rFonts w:hint="default" w:ascii="Times New Roman" w:hAnsi="Times New Roman" w:cs="Times New Roman"/>
                <w:color w:val="auto"/>
                <w:sz w:val="24"/>
              </w:rPr>
              <w:t>8-</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w:t>
            </w:r>
          </w:p>
          <w:p w14:paraId="317ED0C0">
            <w:pPr>
              <w:autoSpaceDE/>
              <w:autoSpaceDN/>
              <w:spacing w:before="156" w:beforeLines="50" w:line="240" w:lineRule="auto"/>
              <w:jc w:val="center"/>
              <w:rPr>
                <w:rFonts w:hint="default" w:ascii="Times New Roman" w:hAnsi="Times New Roman" w:eastAsia="宋体" w:cs="Times New Roman"/>
                <w:b/>
                <w:bCs/>
                <w:color w:val="auto"/>
                <w:kern w:val="2"/>
                <w:sz w:val="24"/>
                <w:lang w:val="en-US" w:eastAsia="zh-CN" w:bidi="ar-SA"/>
              </w:rPr>
            </w:pPr>
            <w:r>
              <w:rPr>
                <w:rFonts w:hint="default" w:ascii="Times New Roman" w:hAnsi="Times New Roman" w:eastAsia="宋体" w:cs="Times New Roman"/>
                <w:b/>
                <w:bCs/>
                <w:color w:val="auto"/>
                <w:kern w:val="2"/>
                <w:sz w:val="24"/>
                <w:lang w:val="en-US" w:eastAsia="zh-CN" w:bidi="ar-SA"/>
              </w:rPr>
              <w:t>表8-1  项目监测分析分方法一览表</w:t>
            </w:r>
          </w:p>
          <w:tbl>
            <w:tblPr>
              <w:tblStyle w:val="17"/>
              <w:tblW w:w="9538" w:type="dxa"/>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autofit"/>
              <w:tblCellMar>
                <w:top w:w="0" w:type="dxa"/>
                <w:left w:w="108" w:type="dxa"/>
                <w:bottom w:w="0" w:type="dxa"/>
                <w:right w:w="108" w:type="dxa"/>
              </w:tblCellMar>
            </w:tblPr>
            <w:tblGrid>
              <w:gridCol w:w="873"/>
              <w:gridCol w:w="986"/>
              <w:gridCol w:w="2004"/>
              <w:gridCol w:w="2093"/>
              <w:gridCol w:w="1158"/>
              <w:gridCol w:w="2424"/>
            </w:tblGrid>
            <w:tr w14:paraId="6014E1C1">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594" w:hRule="atLeast"/>
                <w:tblHeader/>
                <w:jc w:val="center"/>
              </w:trPr>
              <w:tc>
                <w:tcPr>
                  <w:tcW w:w="1859" w:type="dxa"/>
                  <w:gridSpan w:val="2"/>
                  <w:tcBorders>
                    <w:bottom w:val="single" w:color="auto" w:sz="12" w:space="0"/>
                  </w:tcBorders>
                  <w:shd w:val="clear" w:color="auto" w:fill="D8D8D8" w:themeFill="background1" w:themeFillShade="D9"/>
                  <w:vAlign w:val="center"/>
                </w:tcPr>
                <w:p w14:paraId="64E097B4">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检测项目</w:t>
                  </w:r>
                </w:p>
              </w:tc>
              <w:tc>
                <w:tcPr>
                  <w:tcW w:w="2004" w:type="dxa"/>
                  <w:tcBorders>
                    <w:bottom w:val="single" w:color="auto" w:sz="12" w:space="0"/>
                  </w:tcBorders>
                  <w:shd w:val="clear" w:color="auto" w:fill="D8D8D8" w:themeFill="background1" w:themeFillShade="D9"/>
                  <w:vAlign w:val="center"/>
                </w:tcPr>
                <w:p w14:paraId="3EB67923">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检测依据</w:t>
                  </w:r>
                </w:p>
              </w:tc>
              <w:tc>
                <w:tcPr>
                  <w:tcW w:w="2093" w:type="dxa"/>
                  <w:tcBorders>
                    <w:bottom w:val="single" w:color="auto" w:sz="12" w:space="0"/>
                  </w:tcBorders>
                  <w:shd w:val="clear" w:color="auto" w:fill="D8D8D8" w:themeFill="background1" w:themeFillShade="D9"/>
                  <w:vAlign w:val="center"/>
                </w:tcPr>
                <w:p w14:paraId="3924F6C7">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检测分析方法</w:t>
                  </w:r>
                </w:p>
              </w:tc>
              <w:tc>
                <w:tcPr>
                  <w:tcW w:w="1158" w:type="dxa"/>
                  <w:tcBorders>
                    <w:bottom w:val="single" w:color="auto" w:sz="12" w:space="0"/>
                  </w:tcBorders>
                  <w:shd w:val="clear" w:color="auto" w:fill="D8D8D8" w:themeFill="background1" w:themeFillShade="D9"/>
                  <w:vAlign w:val="center"/>
                </w:tcPr>
                <w:p w14:paraId="26523B0A">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检出限</w:t>
                  </w:r>
                </w:p>
              </w:tc>
              <w:tc>
                <w:tcPr>
                  <w:tcW w:w="2424" w:type="dxa"/>
                  <w:tcBorders>
                    <w:bottom w:val="single" w:color="auto" w:sz="12" w:space="0"/>
                  </w:tcBorders>
                  <w:shd w:val="clear" w:color="auto" w:fill="D8D8D8" w:themeFill="background1" w:themeFillShade="D9"/>
                  <w:vAlign w:val="center"/>
                </w:tcPr>
                <w:p w14:paraId="310C4B68">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检测仪器、设备</w:t>
                  </w:r>
                </w:p>
              </w:tc>
            </w:tr>
            <w:tr w14:paraId="6EB35AA2">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594" w:hRule="atLeast"/>
                <w:jc w:val="center"/>
              </w:trPr>
              <w:tc>
                <w:tcPr>
                  <w:tcW w:w="873" w:type="dxa"/>
                  <w:tcBorders>
                    <w:top w:val="single" w:color="auto" w:sz="12" w:space="0"/>
                    <w:bottom w:val="single" w:color="auto" w:sz="8" w:space="0"/>
                  </w:tcBorders>
                  <w:shd w:val="clear" w:color="auto" w:fill="auto"/>
                  <w:vAlign w:val="center"/>
                </w:tcPr>
                <w:p w14:paraId="076D2CE0">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无组织废气</w:t>
                  </w:r>
                </w:p>
              </w:tc>
              <w:tc>
                <w:tcPr>
                  <w:tcW w:w="986" w:type="dxa"/>
                  <w:tcBorders>
                    <w:top w:val="single" w:color="auto" w:sz="12" w:space="0"/>
                    <w:bottom w:val="single" w:color="auto" w:sz="8" w:space="0"/>
                  </w:tcBorders>
                  <w:shd w:val="clear" w:color="auto" w:fill="auto"/>
                  <w:vAlign w:val="center"/>
                </w:tcPr>
                <w:p w14:paraId="2E02E3AA">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颗粒物</w:t>
                  </w:r>
                </w:p>
              </w:tc>
              <w:tc>
                <w:tcPr>
                  <w:tcW w:w="2004" w:type="dxa"/>
                  <w:tcBorders>
                    <w:top w:val="single" w:color="auto" w:sz="12" w:space="0"/>
                    <w:bottom w:val="single" w:color="auto" w:sz="8" w:space="0"/>
                  </w:tcBorders>
                  <w:shd w:val="clear" w:color="auto" w:fill="auto"/>
                  <w:vAlign w:val="center"/>
                </w:tcPr>
                <w:p w14:paraId="14E89FF6">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HJ 1263-2022</w:t>
                  </w:r>
                </w:p>
              </w:tc>
              <w:tc>
                <w:tcPr>
                  <w:tcW w:w="2093" w:type="dxa"/>
                  <w:tcBorders>
                    <w:top w:val="single" w:color="auto" w:sz="12" w:space="0"/>
                    <w:bottom w:val="single" w:color="auto" w:sz="8" w:space="0"/>
                  </w:tcBorders>
                  <w:shd w:val="clear" w:color="auto" w:fill="auto"/>
                  <w:vAlign w:val="center"/>
                </w:tcPr>
                <w:p w14:paraId="11851C92">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重量法</w:t>
                  </w:r>
                </w:p>
              </w:tc>
              <w:tc>
                <w:tcPr>
                  <w:tcW w:w="1158" w:type="dxa"/>
                  <w:tcBorders>
                    <w:top w:val="single" w:color="auto" w:sz="12" w:space="0"/>
                    <w:bottom w:val="single" w:color="auto" w:sz="8" w:space="0"/>
                  </w:tcBorders>
                  <w:shd w:val="clear" w:color="auto" w:fill="auto"/>
                  <w:vAlign w:val="center"/>
                </w:tcPr>
                <w:p w14:paraId="786F1D3C">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eastAsia" w:ascii="Times New Roman" w:hAnsi="Times New Roman" w:eastAsia="宋体" w:cs="Times New Roman"/>
                      <w:b w:val="0"/>
                      <w:bCs w:val="0"/>
                      <w:sz w:val="18"/>
                      <w:szCs w:val="18"/>
                      <w:highlight w:val="none"/>
                      <w:lang w:val="en-US" w:eastAsia="zh-CN"/>
                    </w:rPr>
                    <w:t>168</w:t>
                  </w:r>
                  <w:r>
                    <w:rPr>
                      <w:rFonts w:hint="default" w:ascii="Times New Roman" w:hAnsi="Times New Roman" w:eastAsia="宋体" w:cs="Times New Roman"/>
                      <w:b w:val="0"/>
                      <w:bCs w:val="0"/>
                      <w:sz w:val="18"/>
                      <w:szCs w:val="18"/>
                      <w:highlight w:val="none"/>
                      <w:lang w:val="en-US" w:eastAsia="zh-CN"/>
                    </w:rPr>
                    <w:t>μg/m</w:t>
                  </w:r>
                  <w:r>
                    <w:rPr>
                      <w:rFonts w:hint="default" w:ascii="Times New Roman" w:hAnsi="Times New Roman" w:eastAsia="宋体" w:cs="Times New Roman"/>
                      <w:b w:val="0"/>
                      <w:bCs w:val="0"/>
                      <w:sz w:val="18"/>
                      <w:szCs w:val="18"/>
                      <w:highlight w:val="none"/>
                      <w:vertAlign w:val="superscript"/>
                      <w:lang w:val="en-US" w:eastAsia="zh-CN"/>
                    </w:rPr>
                    <w:t>3</w:t>
                  </w:r>
                </w:p>
              </w:tc>
              <w:tc>
                <w:tcPr>
                  <w:tcW w:w="2424" w:type="dxa"/>
                  <w:tcBorders>
                    <w:top w:val="single" w:color="auto" w:sz="12" w:space="0"/>
                    <w:bottom w:val="single" w:color="auto" w:sz="8" w:space="0"/>
                  </w:tcBorders>
                  <w:shd w:val="clear" w:color="auto" w:fill="auto"/>
                  <w:vAlign w:val="center"/>
                </w:tcPr>
                <w:p w14:paraId="2A3B7305">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AUW120D电子天平</w:t>
                  </w:r>
                </w:p>
              </w:tc>
            </w:tr>
            <w:tr w14:paraId="0479FE42">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1287" w:hRule="atLeast"/>
                <w:jc w:val="center"/>
              </w:trPr>
              <w:tc>
                <w:tcPr>
                  <w:tcW w:w="1859" w:type="dxa"/>
                  <w:gridSpan w:val="2"/>
                  <w:tcBorders>
                    <w:top w:val="single" w:color="auto" w:sz="8" w:space="0"/>
                    <w:bottom w:val="single" w:color="auto" w:sz="12" w:space="0"/>
                  </w:tcBorders>
                  <w:shd w:val="clear" w:color="auto" w:fill="auto"/>
                  <w:vAlign w:val="center"/>
                </w:tcPr>
                <w:p w14:paraId="56815F9D">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rPr>
                    <w:t>噪声</w:t>
                  </w:r>
                </w:p>
              </w:tc>
              <w:tc>
                <w:tcPr>
                  <w:tcW w:w="2004" w:type="dxa"/>
                  <w:tcBorders>
                    <w:top w:val="single" w:color="auto" w:sz="8" w:space="0"/>
                    <w:bottom w:val="single" w:color="auto" w:sz="12" w:space="0"/>
                  </w:tcBorders>
                  <w:shd w:val="clear" w:color="auto" w:fill="auto"/>
                  <w:vAlign w:val="center"/>
                </w:tcPr>
                <w:p w14:paraId="2E38A699">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rPr>
                    <w:t>GB</w:t>
                  </w:r>
                  <w:r>
                    <w:rPr>
                      <w:rFonts w:hint="default" w:ascii="Times New Roman" w:hAnsi="Times New Roman" w:eastAsia="宋体" w:cs="Times New Roman"/>
                      <w:b w:val="0"/>
                      <w:bCs w:val="0"/>
                      <w:sz w:val="18"/>
                      <w:szCs w:val="18"/>
                      <w:highlight w:val="none"/>
                      <w:lang w:val="en-US" w:eastAsia="zh-CN"/>
                    </w:rPr>
                    <w:t xml:space="preserve"> </w:t>
                  </w:r>
                  <w:r>
                    <w:rPr>
                      <w:rFonts w:hint="default" w:ascii="Times New Roman" w:hAnsi="Times New Roman" w:eastAsia="宋体" w:cs="Times New Roman"/>
                      <w:b w:val="0"/>
                      <w:bCs w:val="0"/>
                      <w:sz w:val="18"/>
                      <w:szCs w:val="18"/>
                      <w:highlight w:val="none"/>
                    </w:rPr>
                    <w:t>12348-2008</w:t>
                  </w:r>
                </w:p>
              </w:tc>
              <w:tc>
                <w:tcPr>
                  <w:tcW w:w="2093" w:type="dxa"/>
                  <w:tcBorders>
                    <w:top w:val="single" w:color="auto" w:sz="8" w:space="0"/>
                    <w:bottom w:val="single" w:color="auto" w:sz="12" w:space="0"/>
                  </w:tcBorders>
                  <w:shd w:val="clear" w:color="auto" w:fill="auto"/>
                  <w:vAlign w:val="center"/>
                </w:tcPr>
                <w:p w14:paraId="6EB1625D">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工业企业厂界环境</w:t>
                  </w:r>
                </w:p>
                <w:p w14:paraId="5087916B">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rPr>
                    <w:t>噪声排放标准</w:t>
                  </w:r>
                </w:p>
              </w:tc>
              <w:tc>
                <w:tcPr>
                  <w:tcW w:w="1158" w:type="dxa"/>
                  <w:tcBorders>
                    <w:top w:val="single" w:color="auto" w:sz="8" w:space="0"/>
                    <w:bottom w:val="single" w:color="auto" w:sz="12" w:space="0"/>
                  </w:tcBorders>
                  <w:shd w:val="clear" w:color="auto" w:fill="auto"/>
                  <w:vAlign w:val="center"/>
                </w:tcPr>
                <w:p w14:paraId="0443E72F">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rPr>
                    <w:t>/</w:t>
                  </w:r>
                </w:p>
              </w:tc>
              <w:tc>
                <w:tcPr>
                  <w:tcW w:w="2424" w:type="dxa"/>
                  <w:tcBorders>
                    <w:top w:val="single" w:color="auto" w:sz="8" w:space="0"/>
                    <w:bottom w:val="single" w:color="auto" w:sz="12" w:space="0"/>
                  </w:tcBorders>
                  <w:shd w:val="clear" w:color="auto" w:fill="auto"/>
                  <w:vAlign w:val="center"/>
                </w:tcPr>
                <w:p w14:paraId="6B12FE10">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lang w:val="en-US" w:eastAsia="zh-CN"/>
                    </w:rPr>
                    <w:t>AWA6228+型声级</w:t>
                  </w:r>
                  <w:r>
                    <w:rPr>
                      <w:rFonts w:hint="default" w:ascii="Times New Roman" w:hAnsi="Times New Roman" w:eastAsia="宋体" w:cs="Times New Roman"/>
                      <w:b w:val="0"/>
                      <w:bCs w:val="0"/>
                      <w:sz w:val="18"/>
                      <w:szCs w:val="18"/>
                      <w:highlight w:val="none"/>
                    </w:rPr>
                    <w:t>计</w:t>
                  </w:r>
                  <w:r>
                    <w:rPr>
                      <w:rFonts w:hint="default" w:ascii="Times New Roman" w:hAnsi="Times New Roman" w:eastAsia="宋体" w:cs="Times New Roman"/>
                      <w:b w:val="0"/>
                      <w:bCs w:val="0"/>
                      <w:sz w:val="18"/>
                      <w:szCs w:val="18"/>
                      <w:highlight w:val="none"/>
                      <w:lang w:val="en-US" w:eastAsia="zh-CN"/>
                    </w:rPr>
                    <w:t>AWA</w:t>
                  </w:r>
                  <w:r>
                    <w:rPr>
                      <w:rFonts w:hint="eastAsia" w:ascii="Times New Roman" w:hAnsi="Times New Roman" w:eastAsia="宋体" w:cs="Times New Roman"/>
                      <w:b w:val="0"/>
                      <w:bCs w:val="0"/>
                      <w:sz w:val="18"/>
                      <w:szCs w:val="18"/>
                      <w:highlight w:val="none"/>
                      <w:lang w:val="en-US" w:eastAsia="zh-CN"/>
                    </w:rPr>
                    <w:t>5688</w:t>
                  </w:r>
                  <w:r>
                    <w:rPr>
                      <w:rFonts w:hint="default" w:ascii="Times New Roman" w:hAnsi="Times New Roman" w:eastAsia="宋体" w:cs="Times New Roman"/>
                      <w:b w:val="0"/>
                      <w:bCs w:val="0"/>
                      <w:sz w:val="18"/>
                      <w:szCs w:val="18"/>
                      <w:highlight w:val="none"/>
                      <w:lang w:val="en-US" w:eastAsia="zh-CN"/>
                    </w:rPr>
                    <w:t>型声级</w:t>
                  </w:r>
                  <w:r>
                    <w:rPr>
                      <w:rFonts w:hint="default" w:ascii="Times New Roman" w:hAnsi="Times New Roman" w:eastAsia="宋体" w:cs="Times New Roman"/>
                      <w:b w:val="0"/>
                      <w:bCs w:val="0"/>
                      <w:sz w:val="18"/>
                      <w:szCs w:val="18"/>
                      <w:highlight w:val="none"/>
                    </w:rPr>
                    <w:t>计</w:t>
                  </w:r>
                </w:p>
                <w:p w14:paraId="7B9747B4">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AWA6</w:t>
                  </w:r>
                  <w:r>
                    <w:rPr>
                      <w:rFonts w:hint="eastAsia" w:ascii="Times New Roman" w:hAnsi="Times New Roman" w:eastAsia="宋体" w:cs="Times New Roman"/>
                      <w:b w:val="0"/>
                      <w:bCs w:val="0"/>
                      <w:sz w:val="18"/>
                      <w:szCs w:val="18"/>
                      <w:highlight w:val="none"/>
                      <w:lang w:val="en-US" w:eastAsia="zh-CN"/>
                    </w:rPr>
                    <w:t>2</w:t>
                  </w:r>
                  <w:r>
                    <w:rPr>
                      <w:rFonts w:hint="default" w:ascii="Times New Roman" w:hAnsi="Times New Roman" w:eastAsia="宋体" w:cs="Times New Roman"/>
                      <w:b w:val="0"/>
                      <w:bCs w:val="0"/>
                      <w:sz w:val="18"/>
                      <w:szCs w:val="18"/>
                      <w:highlight w:val="none"/>
                      <w:lang w:val="en-US" w:eastAsia="zh-CN"/>
                    </w:rPr>
                    <w:t>21</w:t>
                  </w:r>
                  <w:r>
                    <w:rPr>
                      <w:rFonts w:hint="default" w:ascii="Times New Roman" w:hAnsi="Times New Roman" w:eastAsia="宋体" w:cs="Times New Roman"/>
                      <w:b w:val="0"/>
                      <w:bCs w:val="0"/>
                      <w:sz w:val="18"/>
                      <w:szCs w:val="18"/>
                      <w:highlight w:val="none"/>
                    </w:rPr>
                    <w:t>A型校准器</w:t>
                  </w:r>
                </w:p>
                <w:p w14:paraId="4DC73DDE">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rPr>
                    <w:t>AWA6</w:t>
                  </w:r>
                  <w:r>
                    <w:rPr>
                      <w:rFonts w:hint="eastAsia" w:ascii="Times New Roman" w:hAnsi="Times New Roman" w:eastAsia="宋体" w:cs="Times New Roman"/>
                      <w:b w:val="0"/>
                      <w:bCs w:val="0"/>
                      <w:sz w:val="18"/>
                      <w:szCs w:val="18"/>
                      <w:highlight w:val="none"/>
                      <w:lang w:val="en-US" w:eastAsia="zh-CN"/>
                    </w:rPr>
                    <w:t>022</w:t>
                  </w:r>
                  <w:r>
                    <w:rPr>
                      <w:rFonts w:hint="default" w:ascii="Times New Roman" w:hAnsi="Times New Roman" w:eastAsia="宋体" w:cs="Times New Roman"/>
                      <w:b w:val="0"/>
                      <w:bCs w:val="0"/>
                      <w:sz w:val="18"/>
                      <w:szCs w:val="18"/>
                      <w:highlight w:val="none"/>
                    </w:rPr>
                    <w:t>A型校准器AWA6</w:t>
                  </w:r>
                  <w:r>
                    <w:rPr>
                      <w:rFonts w:hint="eastAsia" w:ascii="Times New Roman" w:hAnsi="Times New Roman" w:eastAsia="宋体" w:cs="Times New Roman"/>
                      <w:b w:val="0"/>
                      <w:bCs w:val="0"/>
                      <w:sz w:val="18"/>
                      <w:szCs w:val="18"/>
                      <w:highlight w:val="none"/>
                      <w:lang w:val="en-US" w:eastAsia="zh-CN"/>
                    </w:rPr>
                    <w:t>021</w:t>
                  </w:r>
                  <w:r>
                    <w:rPr>
                      <w:rFonts w:hint="default" w:ascii="Times New Roman" w:hAnsi="Times New Roman" w:eastAsia="宋体" w:cs="Times New Roman"/>
                      <w:b w:val="0"/>
                      <w:bCs w:val="0"/>
                      <w:sz w:val="18"/>
                      <w:szCs w:val="18"/>
                      <w:highlight w:val="none"/>
                    </w:rPr>
                    <w:t>A型校准器</w:t>
                  </w:r>
                </w:p>
              </w:tc>
            </w:tr>
          </w:tbl>
          <w:p w14:paraId="4D4D924C">
            <w:pPr>
              <w:autoSpaceDE/>
              <w:autoSpaceDN/>
              <w:spacing w:before="156" w:beforeLines="50" w:line="240" w:lineRule="auto"/>
              <w:jc w:val="center"/>
              <w:rPr>
                <w:rFonts w:hint="default" w:ascii="Times New Roman" w:hAnsi="Times New Roman" w:eastAsia="宋体" w:cs="Times New Roman"/>
                <w:b/>
                <w:bCs/>
                <w:color w:val="auto"/>
                <w:kern w:val="2"/>
                <w:sz w:val="24"/>
                <w:lang w:val="en-US" w:eastAsia="zh-CN" w:bidi="ar-SA"/>
              </w:rPr>
            </w:pPr>
          </w:p>
          <w:p w14:paraId="5019C338">
            <w:pPr>
              <w:autoSpaceDE/>
              <w:autoSpaceDN/>
              <w:spacing w:before="156" w:beforeLines="50" w:line="240" w:lineRule="auto"/>
              <w:jc w:val="center"/>
              <w:rPr>
                <w:rFonts w:hint="default" w:ascii="Times New Roman" w:hAnsi="Times New Roman" w:eastAsia="宋体" w:cs="Times New Roman"/>
                <w:b/>
                <w:bCs/>
                <w:color w:val="auto"/>
                <w:kern w:val="2"/>
                <w:sz w:val="24"/>
                <w:lang w:val="en-US" w:eastAsia="zh-CN" w:bidi="ar-SA"/>
              </w:rPr>
            </w:pPr>
          </w:p>
          <w:p w14:paraId="0BE5340A">
            <w:pPr>
              <w:pStyle w:val="23"/>
              <w:spacing w:line="360" w:lineRule="auto"/>
              <w:jc w:val="both"/>
              <w:rPr>
                <w:rFonts w:hint="default" w:ascii="Times New Roman" w:hAnsi="Times New Roman" w:eastAsia="宋体" w:cs="Times New Roman"/>
                <w:color w:val="FF0000"/>
                <w:sz w:val="24"/>
                <w:lang w:val="en-US" w:eastAsia="zh-CN"/>
              </w:rPr>
            </w:pPr>
          </w:p>
        </w:tc>
      </w:tr>
      <w:tr w14:paraId="29623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9" w:hRule="atLeast"/>
          <w:jc w:val="center"/>
        </w:trPr>
        <w:tc>
          <w:tcPr>
            <w:tcW w:w="5000" w:type="pct"/>
            <w:noWrap w:val="0"/>
            <w:vAlign w:val="top"/>
          </w:tcPr>
          <w:p w14:paraId="4D72F8B5">
            <w:pPr>
              <w:pStyle w:val="23"/>
              <w:spacing w:line="360" w:lineRule="auto"/>
              <w:rPr>
                <w:rFonts w:hint="default" w:ascii="Times New Roman" w:hAnsi="Times New Roman" w:eastAsia="宋体" w:cs="Times New Roman"/>
                <w:b/>
                <w:color w:val="auto"/>
                <w:sz w:val="28"/>
                <w:lang w:val="en-US" w:eastAsia="zh-CN"/>
              </w:rPr>
            </w:pPr>
            <w:r>
              <w:rPr>
                <w:rFonts w:hint="default" w:ascii="Times New Roman" w:hAnsi="Times New Roman" w:eastAsia="宋体" w:cs="Times New Roman"/>
                <w:b/>
                <w:color w:val="auto"/>
                <w:sz w:val="28"/>
                <w:lang w:val="en-US" w:eastAsia="zh-CN"/>
              </w:rPr>
              <w:t>验收</w:t>
            </w:r>
            <w:r>
              <w:rPr>
                <w:rFonts w:hint="eastAsia" w:ascii="Times New Roman" w:hAnsi="Times New Roman" w:eastAsia="宋体" w:cs="Times New Roman"/>
                <w:b/>
                <w:color w:val="auto"/>
                <w:sz w:val="28"/>
                <w:lang w:val="en-US" w:eastAsia="zh-CN"/>
              </w:rPr>
              <w:t>监测</w:t>
            </w:r>
            <w:r>
              <w:rPr>
                <w:rFonts w:hint="default" w:ascii="Times New Roman" w:hAnsi="Times New Roman" w:eastAsia="宋体" w:cs="Times New Roman"/>
                <w:b/>
                <w:color w:val="auto"/>
                <w:sz w:val="28"/>
                <w:lang w:val="en-US" w:eastAsia="zh-CN"/>
              </w:rPr>
              <w:t>内容</w:t>
            </w:r>
          </w:p>
          <w:p w14:paraId="5B733F54">
            <w:pPr>
              <w:pageBreakBefore w:val="0"/>
              <w:widowControl w:val="0"/>
              <w:kinsoku/>
              <w:wordWrap/>
              <w:overflowPunct/>
              <w:topLinePunct w:val="0"/>
              <w:bidi w:val="0"/>
              <w:spacing w:line="360" w:lineRule="auto"/>
              <w:ind w:firstLine="464"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本次监测</w:t>
            </w:r>
            <w:r>
              <w:rPr>
                <w:rFonts w:hint="default" w:ascii="Times New Roman" w:hAnsi="Times New Roman" w:eastAsia="宋体" w:cs="Times New Roman"/>
                <w:color w:val="auto"/>
                <w:spacing w:val="-4"/>
                <w:sz w:val="24"/>
                <w:szCs w:val="24"/>
                <w:lang w:eastAsia="zh-CN"/>
              </w:rPr>
              <w:t>内容</w:t>
            </w:r>
            <w:r>
              <w:rPr>
                <w:rFonts w:hint="default" w:ascii="Times New Roman" w:hAnsi="Times New Roman" w:eastAsia="宋体" w:cs="Times New Roman"/>
                <w:color w:val="auto"/>
                <w:spacing w:val="-4"/>
                <w:sz w:val="24"/>
                <w:szCs w:val="24"/>
              </w:rPr>
              <w:t>详见表</w:t>
            </w:r>
            <w:r>
              <w:rPr>
                <w:rFonts w:hint="eastAsia" w:ascii="Times New Roman" w:hAnsi="Times New Roman" w:eastAsia="宋体" w:cs="Times New Roman"/>
                <w:color w:val="auto"/>
                <w:spacing w:val="-4"/>
                <w:sz w:val="24"/>
                <w:szCs w:val="24"/>
                <w:lang w:val="en-US" w:eastAsia="zh-CN"/>
              </w:rPr>
              <w:t>8-2</w:t>
            </w:r>
            <w:r>
              <w:rPr>
                <w:rFonts w:hint="default" w:ascii="Times New Roman" w:hAnsi="Times New Roman" w:eastAsia="宋体" w:cs="Times New Roman"/>
                <w:color w:val="auto"/>
                <w:spacing w:val="-4"/>
                <w:sz w:val="24"/>
                <w:szCs w:val="24"/>
              </w:rPr>
              <w:t>。</w:t>
            </w:r>
          </w:p>
          <w:p w14:paraId="2435F5ED">
            <w:pPr>
              <w:autoSpaceDE/>
              <w:autoSpaceDN/>
              <w:spacing w:before="156" w:beforeLines="50" w:line="240" w:lineRule="auto"/>
              <w:jc w:val="center"/>
              <w:rPr>
                <w:rFonts w:hint="default" w:ascii="Times New Roman" w:hAnsi="Times New Roman" w:eastAsia="宋体" w:cs="Times New Roman"/>
                <w:b/>
                <w:bCs/>
                <w:color w:val="auto"/>
                <w:kern w:val="2"/>
                <w:sz w:val="24"/>
                <w:lang w:val="en-US" w:eastAsia="zh-CN" w:bidi="ar-SA"/>
              </w:rPr>
            </w:pPr>
            <w:r>
              <w:rPr>
                <w:rFonts w:hint="default" w:ascii="Times New Roman" w:hAnsi="Times New Roman" w:eastAsia="宋体" w:cs="Times New Roman"/>
                <w:b/>
                <w:bCs/>
                <w:color w:val="auto"/>
                <w:kern w:val="2"/>
                <w:sz w:val="24"/>
                <w:lang w:val="en-US" w:eastAsia="zh-CN" w:bidi="ar-SA"/>
              </w:rPr>
              <w:t>表8-</w:t>
            </w:r>
            <w:r>
              <w:rPr>
                <w:rFonts w:hint="eastAsia" w:ascii="Times New Roman" w:hAnsi="Times New Roman" w:eastAsia="宋体" w:cs="Times New Roman"/>
                <w:b/>
                <w:bCs/>
                <w:color w:val="auto"/>
                <w:kern w:val="2"/>
                <w:sz w:val="24"/>
                <w:lang w:val="en-US" w:eastAsia="zh-CN" w:bidi="ar-SA"/>
              </w:rPr>
              <w:t>2</w:t>
            </w:r>
            <w:r>
              <w:rPr>
                <w:rFonts w:hint="default" w:ascii="Times New Roman" w:hAnsi="Times New Roman" w:eastAsia="宋体" w:cs="Times New Roman"/>
                <w:b/>
                <w:bCs/>
                <w:color w:val="auto"/>
                <w:kern w:val="2"/>
                <w:sz w:val="24"/>
                <w:lang w:val="en-US" w:eastAsia="zh-CN" w:bidi="ar-SA"/>
              </w:rPr>
              <w:t xml:space="preserve">  监测内容一览表</w:t>
            </w:r>
          </w:p>
          <w:tbl>
            <w:tblPr>
              <w:tblStyle w:val="17"/>
              <w:tblW w:w="95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2400"/>
              <w:gridCol w:w="1111"/>
              <w:gridCol w:w="3467"/>
              <w:gridCol w:w="1388"/>
            </w:tblGrid>
            <w:tr w14:paraId="3B3BD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2" w:hRule="atLeast"/>
                <w:tblHeader/>
                <w:jc w:val="center"/>
              </w:trPr>
              <w:tc>
                <w:tcPr>
                  <w:tcW w:w="1152" w:type="dxa"/>
                  <w:tcBorders>
                    <w:top w:val="single" w:color="auto" w:sz="12" w:space="0"/>
                    <w:bottom w:val="single" w:color="auto" w:sz="12" w:space="0"/>
                  </w:tcBorders>
                  <w:shd w:val="clear" w:color="auto" w:fill="D8D8D8" w:themeFill="background1" w:themeFillShade="D9"/>
                  <w:vAlign w:val="center"/>
                </w:tcPr>
                <w:p w14:paraId="503E7BDD">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监测类型</w:t>
                  </w:r>
                </w:p>
              </w:tc>
              <w:tc>
                <w:tcPr>
                  <w:tcW w:w="2400" w:type="dxa"/>
                  <w:tcBorders>
                    <w:top w:val="single" w:color="auto" w:sz="12" w:space="0"/>
                    <w:bottom w:val="single" w:color="auto" w:sz="12" w:space="0"/>
                  </w:tcBorders>
                  <w:shd w:val="clear" w:color="auto" w:fill="D8D8D8" w:themeFill="background1" w:themeFillShade="D9"/>
                  <w:vAlign w:val="center"/>
                </w:tcPr>
                <w:p w14:paraId="455C5C5E">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监测点位</w:t>
                  </w:r>
                </w:p>
              </w:tc>
              <w:tc>
                <w:tcPr>
                  <w:tcW w:w="1111" w:type="dxa"/>
                  <w:tcBorders>
                    <w:top w:val="single" w:color="auto" w:sz="12" w:space="0"/>
                    <w:bottom w:val="single" w:color="auto" w:sz="12" w:space="0"/>
                  </w:tcBorders>
                  <w:shd w:val="clear" w:color="auto" w:fill="D8D8D8" w:themeFill="background1" w:themeFillShade="D9"/>
                  <w:vAlign w:val="center"/>
                </w:tcPr>
                <w:p w14:paraId="6BC5702F">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sz w:val="21"/>
                      <w:szCs w:val="21"/>
                    </w:rPr>
                  </w:pPr>
                  <w:r>
                    <w:rPr>
                      <w:rFonts w:hint="eastAsia" w:cs="Times New Roman"/>
                      <w:b/>
                      <w:sz w:val="21"/>
                      <w:szCs w:val="21"/>
                      <w:lang w:val="en-US" w:eastAsia="zh-CN"/>
                    </w:rPr>
                    <w:t>点位</w:t>
                  </w:r>
                  <w:r>
                    <w:rPr>
                      <w:rFonts w:hint="default" w:ascii="Times New Roman" w:hAnsi="Times New Roman" w:eastAsia="宋体" w:cs="Times New Roman"/>
                      <w:b/>
                      <w:sz w:val="21"/>
                      <w:szCs w:val="21"/>
                    </w:rPr>
                    <w:t>编号</w:t>
                  </w:r>
                </w:p>
              </w:tc>
              <w:tc>
                <w:tcPr>
                  <w:tcW w:w="3467" w:type="dxa"/>
                  <w:tcBorders>
                    <w:top w:val="single" w:color="auto" w:sz="12" w:space="0"/>
                    <w:bottom w:val="single" w:color="auto" w:sz="12" w:space="0"/>
                  </w:tcBorders>
                  <w:shd w:val="clear" w:color="auto" w:fill="D8D8D8" w:themeFill="background1" w:themeFillShade="D9"/>
                  <w:vAlign w:val="center"/>
                </w:tcPr>
                <w:p w14:paraId="170F8976">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监测项目</w:t>
                  </w:r>
                </w:p>
              </w:tc>
              <w:tc>
                <w:tcPr>
                  <w:tcW w:w="1388" w:type="dxa"/>
                  <w:tcBorders>
                    <w:top w:val="single" w:color="auto" w:sz="12" w:space="0"/>
                    <w:bottom w:val="single" w:color="auto" w:sz="12" w:space="0"/>
                  </w:tcBorders>
                  <w:shd w:val="clear" w:color="auto" w:fill="D8D8D8" w:themeFill="background1" w:themeFillShade="D9"/>
                  <w:vAlign w:val="center"/>
                </w:tcPr>
                <w:p w14:paraId="7D86681C">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监测频次</w:t>
                  </w:r>
                </w:p>
              </w:tc>
            </w:tr>
            <w:tr w14:paraId="6BCF2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1152" w:type="dxa"/>
                  <w:vMerge w:val="restart"/>
                  <w:tcBorders>
                    <w:top w:val="single" w:color="auto" w:sz="12" w:space="0"/>
                    <w:left w:val="nil"/>
                    <w:right w:val="single" w:color="auto" w:sz="8" w:space="0"/>
                  </w:tcBorders>
                  <w:vAlign w:val="center"/>
                </w:tcPr>
                <w:p w14:paraId="5EC578A7">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无组织</w:t>
                  </w:r>
                </w:p>
                <w:p w14:paraId="791CAC6B">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废气</w:t>
                  </w:r>
                </w:p>
              </w:tc>
              <w:tc>
                <w:tcPr>
                  <w:tcW w:w="2400" w:type="dxa"/>
                  <w:tcBorders>
                    <w:top w:val="single" w:color="auto" w:sz="12" w:space="0"/>
                    <w:left w:val="single" w:color="auto" w:sz="8" w:space="0"/>
                    <w:bottom w:val="single" w:color="auto" w:sz="4" w:space="0"/>
                    <w:right w:val="single" w:color="auto" w:sz="8" w:space="0"/>
                  </w:tcBorders>
                  <w:vAlign w:val="center"/>
                </w:tcPr>
                <w:p w14:paraId="247E2B00">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厂界</w:t>
                  </w:r>
                  <w:r>
                    <w:rPr>
                      <w:rFonts w:hint="eastAsia" w:ascii="Times New Roman" w:hAnsi="Times New Roman" w:eastAsia="宋体" w:cs="Times New Roman"/>
                      <w:b w:val="0"/>
                      <w:bCs w:val="0"/>
                      <w:sz w:val="18"/>
                      <w:szCs w:val="18"/>
                      <w:highlight w:val="none"/>
                      <w:lang w:val="en-US" w:eastAsia="zh-CN"/>
                    </w:rPr>
                    <w:t>东侧外，</w:t>
                  </w:r>
                  <w:r>
                    <w:rPr>
                      <w:rFonts w:hint="default" w:ascii="Times New Roman" w:hAnsi="Times New Roman" w:eastAsia="宋体" w:cs="Times New Roman"/>
                      <w:b w:val="0"/>
                      <w:bCs w:val="0"/>
                      <w:sz w:val="18"/>
                      <w:szCs w:val="18"/>
                      <w:highlight w:val="none"/>
                      <w:lang w:val="en-US" w:eastAsia="zh-CN"/>
                    </w:rPr>
                    <w:t>上风向</w:t>
                  </w:r>
                </w:p>
              </w:tc>
              <w:tc>
                <w:tcPr>
                  <w:tcW w:w="1111" w:type="dxa"/>
                  <w:tcBorders>
                    <w:top w:val="single" w:color="auto" w:sz="12" w:space="0"/>
                    <w:left w:val="single" w:color="auto" w:sz="8" w:space="0"/>
                    <w:bottom w:val="single" w:color="auto" w:sz="4" w:space="0"/>
                    <w:right w:val="single" w:color="auto" w:sz="6" w:space="0"/>
                  </w:tcBorders>
                  <w:vAlign w:val="center"/>
                </w:tcPr>
                <w:p w14:paraId="79FD25DC">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G1</w:t>
                  </w:r>
                </w:p>
              </w:tc>
              <w:tc>
                <w:tcPr>
                  <w:tcW w:w="3467" w:type="dxa"/>
                  <w:vMerge w:val="restart"/>
                  <w:tcBorders>
                    <w:top w:val="single" w:color="auto" w:sz="12" w:space="0"/>
                    <w:left w:val="single" w:color="auto" w:sz="6" w:space="0"/>
                    <w:bottom w:val="single" w:color="auto" w:sz="8" w:space="0"/>
                  </w:tcBorders>
                  <w:vAlign w:val="center"/>
                </w:tcPr>
                <w:p w14:paraId="2600E22B">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颗粒物</w:t>
                  </w:r>
                </w:p>
              </w:tc>
              <w:tc>
                <w:tcPr>
                  <w:tcW w:w="1388" w:type="dxa"/>
                  <w:vMerge w:val="restart"/>
                  <w:tcBorders>
                    <w:top w:val="single" w:color="auto" w:sz="12" w:space="0"/>
                    <w:bottom w:val="single" w:color="auto" w:sz="8" w:space="0"/>
                  </w:tcBorders>
                  <w:vAlign w:val="center"/>
                </w:tcPr>
                <w:p w14:paraId="22903713">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 xml:space="preserve"> </w:t>
                  </w:r>
                  <w:r>
                    <w:rPr>
                      <w:rFonts w:hint="eastAsia" w:ascii="Times New Roman" w:hAnsi="Times New Roman" w:eastAsia="宋体" w:cs="Times New Roman"/>
                      <w:b w:val="0"/>
                      <w:bCs w:val="0"/>
                      <w:sz w:val="18"/>
                      <w:szCs w:val="18"/>
                      <w:highlight w:val="none"/>
                      <w:lang w:val="en-US" w:eastAsia="zh-CN"/>
                    </w:rPr>
                    <w:t>1</w:t>
                  </w:r>
                  <w:r>
                    <w:rPr>
                      <w:rFonts w:hint="default" w:ascii="Times New Roman" w:hAnsi="Times New Roman" w:eastAsia="宋体" w:cs="Times New Roman"/>
                      <w:b w:val="0"/>
                      <w:bCs w:val="0"/>
                      <w:sz w:val="18"/>
                      <w:szCs w:val="18"/>
                      <w:highlight w:val="none"/>
                      <w:lang w:val="en-US" w:eastAsia="zh-CN"/>
                    </w:rPr>
                    <w:t>次/天，</w:t>
                  </w:r>
                </w:p>
                <w:p w14:paraId="2177AF33">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监测1天</w:t>
                  </w:r>
                </w:p>
              </w:tc>
            </w:tr>
            <w:tr w14:paraId="7A6CB1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1152" w:type="dxa"/>
                  <w:vMerge w:val="continue"/>
                  <w:tcBorders>
                    <w:left w:val="nil"/>
                    <w:right w:val="single" w:color="auto" w:sz="8" w:space="0"/>
                  </w:tcBorders>
                  <w:vAlign w:val="center"/>
                </w:tcPr>
                <w:p w14:paraId="72C0A1E6">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p>
              </w:tc>
              <w:tc>
                <w:tcPr>
                  <w:tcW w:w="2400" w:type="dxa"/>
                  <w:tcBorders>
                    <w:top w:val="single" w:color="auto" w:sz="4" w:space="0"/>
                    <w:left w:val="single" w:color="auto" w:sz="8" w:space="0"/>
                    <w:bottom w:val="single" w:color="auto" w:sz="4" w:space="0"/>
                    <w:right w:val="single" w:color="auto" w:sz="8" w:space="0"/>
                  </w:tcBorders>
                  <w:vAlign w:val="center"/>
                </w:tcPr>
                <w:p w14:paraId="2ACF1A3C">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厂界</w:t>
                  </w:r>
                  <w:r>
                    <w:rPr>
                      <w:rFonts w:hint="eastAsia" w:ascii="Times New Roman" w:hAnsi="Times New Roman" w:eastAsia="宋体" w:cs="Times New Roman"/>
                      <w:b w:val="0"/>
                      <w:bCs w:val="0"/>
                      <w:sz w:val="18"/>
                      <w:szCs w:val="18"/>
                      <w:highlight w:val="none"/>
                      <w:lang w:val="en-US" w:eastAsia="zh-CN"/>
                    </w:rPr>
                    <w:t>西南侧外，</w:t>
                  </w:r>
                  <w:r>
                    <w:rPr>
                      <w:rFonts w:hint="default" w:ascii="Times New Roman" w:hAnsi="Times New Roman" w:eastAsia="宋体" w:cs="Times New Roman"/>
                      <w:b w:val="0"/>
                      <w:bCs w:val="0"/>
                      <w:sz w:val="18"/>
                      <w:szCs w:val="18"/>
                      <w:highlight w:val="none"/>
                      <w:lang w:val="en-US" w:eastAsia="zh-CN"/>
                    </w:rPr>
                    <w:t>下风向</w:t>
                  </w:r>
                </w:p>
              </w:tc>
              <w:tc>
                <w:tcPr>
                  <w:tcW w:w="1111" w:type="dxa"/>
                  <w:tcBorders>
                    <w:top w:val="single" w:color="auto" w:sz="4" w:space="0"/>
                    <w:left w:val="single" w:color="auto" w:sz="8" w:space="0"/>
                    <w:bottom w:val="single" w:color="auto" w:sz="4" w:space="0"/>
                    <w:right w:val="single" w:color="auto" w:sz="6" w:space="0"/>
                  </w:tcBorders>
                  <w:vAlign w:val="center"/>
                </w:tcPr>
                <w:p w14:paraId="0F8FD6EA">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G2</w:t>
                  </w:r>
                </w:p>
              </w:tc>
              <w:tc>
                <w:tcPr>
                  <w:tcW w:w="3467" w:type="dxa"/>
                  <w:vMerge w:val="continue"/>
                  <w:tcBorders>
                    <w:top w:val="single" w:color="auto" w:sz="8" w:space="0"/>
                    <w:left w:val="single" w:color="auto" w:sz="6" w:space="0"/>
                    <w:bottom w:val="single" w:color="auto" w:sz="8" w:space="0"/>
                  </w:tcBorders>
                  <w:vAlign w:val="center"/>
                </w:tcPr>
                <w:p w14:paraId="1C06C100">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p>
              </w:tc>
              <w:tc>
                <w:tcPr>
                  <w:tcW w:w="1388" w:type="dxa"/>
                  <w:vMerge w:val="continue"/>
                  <w:tcBorders>
                    <w:top w:val="single" w:color="auto" w:sz="8" w:space="0"/>
                    <w:bottom w:val="single" w:color="auto" w:sz="8" w:space="0"/>
                  </w:tcBorders>
                  <w:vAlign w:val="center"/>
                </w:tcPr>
                <w:p w14:paraId="1C7EC563">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p>
              </w:tc>
            </w:tr>
            <w:tr w14:paraId="646A9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1152" w:type="dxa"/>
                  <w:vMerge w:val="continue"/>
                  <w:tcBorders>
                    <w:left w:val="nil"/>
                    <w:right w:val="single" w:color="auto" w:sz="8" w:space="0"/>
                  </w:tcBorders>
                  <w:vAlign w:val="center"/>
                </w:tcPr>
                <w:p w14:paraId="36F93B95">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p>
              </w:tc>
              <w:tc>
                <w:tcPr>
                  <w:tcW w:w="2400" w:type="dxa"/>
                  <w:tcBorders>
                    <w:top w:val="single" w:color="auto" w:sz="4" w:space="0"/>
                    <w:left w:val="single" w:color="auto" w:sz="8" w:space="0"/>
                    <w:bottom w:val="single" w:color="auto" w:sz="4" w:space="0"/>
                    <w:right w:val="single" w:color="auto" w:sz="8" w:space="0"/>
                  </w:tcBorders>
                  <w:vAlign w:val="center"/>
                </w:tcPr>
                <w:p w14:paraId="7F0FC5A3">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厂界</w:t>
                  </w:r>
                  <w:r>
                    <w:rPr>
                      <w:rFonts w:hint="eastAsia" w:ascii="Times New Roman" w:hAnsi="Times New Roman" w:eastAsia="宋体" w:cs="Times New Roman"/>
                      <w:b w:val="0"/>
                      <w:bCs w:val="0"/>
                      <w:sz w:val="18"/>
                      <w:szCs w:val="18"/>
                      <w:highlight w:val="none"/>
                      <w:lang w:val="en-US" w:eastAsia="zh-CN"/>
                    </w:rPr>
                    <w:t>西侧外，</w:t>
                  </w:r>
                  <w:r>
                    <w:rPr>
                      <w:rFonts w:hint="default" w:ascii="Times New Roman" w:hAnsi="Times New Roman" w:eastAsia="宋体" w:cs="Times New Roman"/>
                      <w:b w:val="0"/>
                      <w:bCs w:val="0"/>
                      <w:sz w:val="18"/>
                      <w:szCs w:val="18"/>
                      <w:highlight w:val="none"/>
                      <w:lang w:val="en-US" w:eastAsia="zh-CN"/>
                    </w:rPr>
                    <w:t>下风向</w:t>
                  </w:r>
                </w:p>
              </w:tc>
              <w:tc>
                <w:tcPr>
                  <w:tcW w:w="1111" w:type="dxa"/>
                  <w:tcBorders>
                    <w:top w:val="single" w:color="auto" w:sz="4" w:space="0"/>
                    <w:left w:val="single" w:color="auto" w:sz="8" w:space="0"/>
                    <w:bottom w:val="single" w:color="auto" w:sz="4" w:space="0"/>
                    <w:right w:val="single" w:color="auto" w:sz="6" w:space="0"/>
                  </w:tcBorders>
                  <w:vAlign w:val="center"/>
                </w:tcPr>
                <w:p w14:paraId="005EF0A2">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G3</w:t>
                  </w:r>
                </w:p>
              </w:tc>
              <w:tc>
                <w:tcPr>
                  <w:tcW w:w="3467" w:type="dxa"/>
                  <w:vMerge w:val="continue"/>
                  <w:tcBorders>
                    <w:top w:val="single" w:color="auto" w:sz="8" w:space="0"/>
                    <w:left w:val="single" w:color="auto" w:sz="6" w:space="0"/>
                    <w:bottom w:val="single" w:color="auto" w:sz="8" w:space="0"/>
                  </w:tcBorders>
                  <w:vAlign w:val="center"/>
                </w:tcPr>
                <w:p w14:paraId="7638826B">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p>
              </w:tc>
              <w:tc>
                <w:tcPr>
                  <w:tcW w:w="1388" w:type="dxa"/>
                  <w:vMerge w:val="continue"/>
                  <w:tcBorders>
                    <w:top w:val="single" w:color="auto" w:sz="8" w:space="0"/>
                    <w:bottom w:val="single" w:color="auto" w:sz="8" w:space="0"/>
                  </w:tcBorders>
                  <w:vAlign w:val="center"/>
                </w:tcPr>
                <w:p w14:paraId="515255F9">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p>
              </w:tc>
            </w:tr>
            <w:tr w14:paraId="408A1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1152" w:type="dxa"/>
                  <w:vMerge w:val="continue"/>
                  <w:tcBorders>
                    <w:left w:val="nil"/>
                    <w:bottom w:val="single" w:color="auto" w:sz="8" w:space="0"/>
                    <w:right w:val="single" w:color="auto" w:sz="8" w:space="0"/>
                  </w:tcBorders>
                  <w:vAlign w:val="center"/>
                </w:tcPr>
                <w:p w14:paraId="41DE3EFF">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p>
              </w:tc>
              <w:tc>
                <w:tcPr>
                  <w:tcW w:w="2400" w:type="dxa"/>
                  <w:tcBorders>
                    <w:top w:val="single" w:color="auto" w:sz="4" w:space="0"/>
                    <w:left w:val="single" w:color="auto" w:sz="8" w:space="0"/>
                    <w:bottom w:val="single" w:color="auto" w:sz="8" w:space="0"/>
                    <w:right w:val="single" w:color="auto" w:sz="8" w:space="0"/>
                  </w:tcBorders>
                  <w:vAlign w:val="center"/>
                </w:tcPr>
                <w:p w14:paraId="57ACD2A3">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厂界</w:t>
                  </w:r>
                  <w:r>
                    <w:rPr>
                      <w:rFonts w:hint="eastAsia" w:ascii="Times New Roman" w:hAnsi="Times New Roman" w:eastAsia="宋体" w:cs="Times New Roman"/>
                      <w:b w:val="0"/>
                      <w:bCs w:val="0"/>
                      <w:sz w:val="18"/>
                      <w:szCs w:val="18"/>
                      <w:highlight w:val="none"/>
                      <w:lang w:val="en-US" w:eastAsia="zh-CN"/>
                    </w:rPr>
                    <w:t>西北侧外，</w:t>
                  </w:r>
                  <w:r>
                    <w:rPr>
                      <w:rFonts w:hint="default" w:ascii="Times New Roman" w:hAnsi="Times New Roman" w:eastAsia="宋体" w:cs="Times New Roman"/>
                      <w:b w:val="0"/>
                      <w:bCs w:val="0"/>
                      <w:sz w:val="18"/>
                      <w:szCs w:val="18"/>
                      <w:highlight w:val="none"/>
                      <w:lang w:val="en-US" w:eastAsia="zh-CN"/>
                    </w:rPr>
                    <w:t>下风向</w:t>
                  </w:r>
                </w:p>
              </w:tc>
              <w:tc>
                <w:tcPr>
                  <w:tcW w:w="1111" w:type="dxa"/>
                  <w:tcBorders>
                    <w:top w:val="single" w:color="auto" w:sz="4" w:space="0"/>
                    <w:left w:val="single" w:color="auto" w:sz="8" w:space="0"/>
                    <w:bottom w:val="single" w:color="auto" w:sz="8" w:space="0"/>
                    <w:right w:val="single" w:color="auto" w:sz="6" w:space="0"/>
                  </w:tcBorders>
                  <w:vAlign w:val="center"/>
                </w:tcPr>
                <w:p w14:paraId="787B5C72">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G4</w:t>
                  </w:r>
                </w:p>
              </w:tc>
              <w:tc>
                <w:tcPr>
                  <w:tcW w:w="3467" w:type="dxa"/>
                  <w:vMerge w:val="continue"/>
                  <w:tcBorders>
                    <w:top w:val="single" w:color="auto" w:sz="8" w:space="0"/>
                    <w:left w:val="single" w:color="auto" w:sz="6" w:space="0"/>
                    <w:bottom w:val="single" w:color="auto" w:sz="8" w:space="0"/>
                  </w:tcBorders>
                  <w:vAlign w:val="center"/>
                </w:tcPr>
                <w:p w14:paraId="4F7D4CC0">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p>
              </w:tc>
              <w:tc>
                <w:tcPr>
                  <w:tcW w:w="1388" w:type="dxa"/>
                  <w:vMerge w:val="continue"/>
                  <w:tcBorders>
                    <w:top w:val="single" w:color="auto" w:sz="8" w:space="0"/>
                    <w:bottom w:val="single" w:color="auto" w:sz="8" w:space="0"/>
                  </w:tcBorders>
                  <w:vAlign w:val="center"/>
                </w:tcPr>
                <w:p w14:paraId="616DE7BB">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p>
              </w:tc>
            </w:tr>
            <w:tr w14:paraId="15695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1152" w:type="dxa"/>
                  <w:vMerge w:val="restart"/>
                  <w:tcBorders>
                    <w:top w:val="single" w:color="auto" w:sz="8" w:space="0"/>
                    <w:right w:val="single" w:color="auto" w:sz="6" w:space="0"/>
                  </w:tcBorders>
                  <w:vAlign w:val="center"/>
                </w:tcPr>
                <w:p w14:paraId="7B7E08BE">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噪声</w:t>
                  </w:r>
                </w:p>
              </w:tc>
              <w:tc>
                <w:tcPr>
                  <w:tcW w:w="2400" w:type="dxa"/>
                  <w:tcBorders>
                    <w:top w:val="single" w:color="auto" w:sz="8" w:space="0"/>
                    <w:bottom w:val="single" w:color="auto" w:sz="4" w:space="0"/>
                    <w:right w:val="single" w:color="auto" w:sz="6" w:space="0"/>
                  </w:tcBorders>
                  <w:shd w:val="clear" w:color="auto" w:fill="auto"/>
                  <w:vAlign w:val="center"/>
                </w:tcPr>
                <w:p w14:paraId="3AC35976">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厂界东侧外1m处</w:t>
                  </w:r>
                </w:p>
              </w:tc>
              <w:tc>
                <w:tcPr>
                  <w:tcW w:w="1111" w:type="dxa"/>
                  <w:tcBorders>
                    <w:top w:val="single" w:color="auto" w:sz="8" w:space="0"/>
                    <w:left w:val="single" w:color="auto" w:sz="6" w:space="0"/>
                    <w:bottom w:val="single" w:color="auto" w:sz="4" w:space="0"/>
                    <w:right w:val="single" w:color="auto" w:sz="6" w:space="0"/>
                  </w:tcBorders>
                  <w:vAlign w:val="center"/>
                </w:tcPr>
                <w:p w14:paraId="1F03461C">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N1</w:t>
                  </w:r>
                </w:p>
              </w:tc>
              <w:tc>
                <w:tcPr>
                  <w:tcW w:w="3467" w:type="dxa"/>
                  <w:vMerge w:val="restart"/>
                  <w:tcBorders>
                    <w:top w:val="single" w:color="auto" w:sz="8" w:space="0"/>
                    <w:left w:val="single" w:color="auto" w:sz="6" w:space="0"/>
                    <w:bottom w:val="single" w:color="auto" w:sz="12" w:space="0"/>
                  </w:tcBorders>
                  <w:vAlign w:val="center"/>
                </w:tcPr>
                <w:p w14:paraId="2B2B04F6">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等效连续A声级</w:t>
                  </w:r>
                </w:p>
              </w:tc>
              <w:tc>
                <w:tcPr>
                  <w:tcW w:w="1388" w:type="dxa"/>
                  <w:vMerge w:val="restart"/>
                  <w:tcBorders>
                    <w:top w:val="single" w:color="auto" w:sz="8" w:space="0"/>
                    <w:bottom w:val="single" w:color="auto" w:sz="12" w:space="0"/>
                  </w:tcBorders>
                  <w:vAlign w:val="center"/>
                </w:tcPr>
                <w:p w14:paraId="0FB02749">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昼</w:t>
                  </w:r>
                  <w:r>
                    <w:rPr>
                      <w:rFonts w:hint="eastAsia" w:ascii="Times New Roman" w:hAnsi="Times New Roman" w:eastAsia="宋体" w:cs="Times New Roman"/>
                      <w:b w:val="0"/>
                      <w:bCs w:val="0"/>
                      <w:sz w:val="18"/>
                      <w:szCs w:val="18"/>
                      <w:highlight w:val="none"/>
                      <w:lang w:val="en-US" w:eastAsia="zh-CN"/>
                    </w:rPr>
                    <w:t>间</w:t>
                  </w:r>
                  <w:r>
                    <w:rPr>
                      <w:rFonts w:hint="default" w:ascii="Times New Roman" w:hAnsi="Times New Roman" w:eastAsia="宋体" w:cs="Times New Roman"/>
                      <w:b w:val="0"/>
                      <w:bCs w:val="0"/>
                      <w:sz w:val="18"/>
                      <w:szCs w:val="18"/>
                      <w:highlight w:val="none"/>
                      <w:lang w:val="en-US" w:eastAsia="zh-CN"/>
                    </w:rPr>
                    <w:t>1次，</w:t>
                  </w:r>
                </w:p>
                <w:p w14:paraId="757A3031">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监测1天</w:t>
                  </w:r>
                </w:p>
              </w:tc>
            </w:tr>
            <w:tr w14:paraId="7F6D1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1152" w:type="dxa"/>
                  <w:vMerge w:val="continue"/>
                  <w:tcBorders>
                    <w:right w:val="single" w:color="auto" w:sz="6" w:space="0"/>
                  </w:tcBorders>
                  <w:vAlign w:val="center"/>
                </w:tcPr>
                <w:p w14:paraId="48F90598">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sz w:val="21"/>
                      <w:szCs w:val="21"/>
                    </w:rPr>
                  </w:pPr>
                </w:p>
              </w:tc>
              <w:tc>
                <w:tcPr>
                  <w:tcW w:w="2400" w:type="dxa"/>
                  <w:tcBorders>
                    <w:top w:val="single" w:color="auto" w:sz="4" w:space="0"/>
                    <w:bottom w:val="single" w:color="auto" w:sz="4" w:space="0"/>
                    <w:right w:val="single" w:color="auto" w:sz="6" w:space="0"/>
                  </w:tcBorders>
                  <w:shd w:val="clear" w:color="auto" w:fill="auto"/>
                  <w:vAlign w:val="center"/>
                </w:tcPr>
                <w:p w14:paraId="3DACE97D">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厂界</w:t>
                  </w:r>
                  <w:r>
                    <w:rPr>
                      <w:rFonts w:hint="eastAsia" w:ascii="Times New Roman" w:hAnsi="Times New Roman" w:eastAsia="宋体" w:cs="Times New Roman"/>
                      <w:b w:val="0"/>
                      <w:bCs w:val="0"/>
                      <w:sz w:val="18"/>
                      <w:szCs w:val="18"/>
                      <w:highlight w:val="none"/>
                      <w:lang w:val="en-US" w:eastAsia="zh-CN"/>
                    </w:rPr>
                    <w:t>西南</w:t>
                  </w:r>
                  <w:r>
                    <w:rPr>
                      <w:rFonts w:hint="default" w:ascii="Times New Roman" w:hAnsi="Times New Roman" w:eastAsia="宋体" w:cs="Times New Roman"/>
                      <w:b w:val="0"/>
                      <w:bCs w:val="0"/>
                      <w:sz w:val="18"/>
                      <w:szCs w:val="18"/>
                      <w:highlight w:val="none"/>
                      <w:lang w:val="en-US" w:eastAsia="zh-CN"/>
                    </w:rPr>
                    <w:t>侧外1m处</w:t>
                  </w:r>
                </w:p>
              </w:tc>
              <w:tc>
                <w:tcPr>
                  <w:tcW w:w="1111" w:type="dxa"/>
                  <w:tcBorders>
                    <w:top w:val="single" w:color="auto" w:sz="4" w:space="0"/>
                    <w:left w:val="single" w:color="auto" w:sz="6" w:space="0"/>
                    <w:bottom w:val="single" w:color="auto" w:sz="4" w:space="0"/>
                    <w:right w:val="single" w:color="auto" w:sz="6" w:space="0"/>
                  </w:tcBorders>
                  <w:vAlign w:val="center"/>
                </w:tcPr>
                <w:p w14:paraId="5C191EB6">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N2</w:t>
                  </w:r>
                </w:p>
              </w:tc>
              <w:tc>
                <w:tcPr>
                  <w:tcW w:w="3467" w:type="dxa"/>
                  <w:vMerge w:val="continue"/>
                  <w:tcBorders>
                    <w:top w:val="single" w:color="auto" w:sz="12" w:space="0"/>
                    <w:left w:val="single" w:color="auto" w:sz="6" w:space="0"/>
                    <w:bottom w:val="single" w:color="auto" w:sz="12" w:space="0"/>
                  </w:tcBorders>
                  <w:vAlign w:val="center"/>
                </w:tcPr>
                <w:p w14:paraId="392C81A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21"/>
                      <w:szCs w:val="21"/>
                    </w:rPr>
                  </w:pPr>
                </w:p>
              </w:tc>
              <w:tc>
                <w:tcPr>
                  <w:tcW w:w="1388" w:type="dxa"/>
                  <w:vMerge w:val="continue"/>
                  <w:tcBorders>
                    <w:top w:val="single" w:color="auto" w:sz="12" w:space="0"/>
                    <w:bottom w:val="single" w:color="auto" w:sz="12" w:space="0"/>
                  </w:tcBorders>
                  <w:vAlign w:val="center"/>
                </w:tcPr>
                <w:p w14:paraId="03B5A0D1">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sz w:val="21"/>
                      <w:szCs w:val="21"/>
                    </w:rPr>
                  </w:pPr>
                </w:p>
              </w:tc>
            </w:tr>
            <w:tr w14:paraId="1DF20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1152" w:type="dxa"/>
                  <w:vMerge w:val="continue"/>
                  <w:tcBorders>
                    <w:right w:val="single" w:color="auto" w:sz="6" w:space="0"/>
                  </w:tcBorders>
                  <w:vAlign w:val="center"/>
                </w:tcPr>
                <w:p w14:paraId="336895EE">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sz w:val="21"/>
                      <w:szCs w:val="21"/>
                    </w:rPr>
                  </w:pPr>
                </w:p>
              </w:tc>
              <w:tc>
                <w:tcPr>
                  <w:tcW w:w="2400" w:type="dxa"/>
                  <w:tcBorders>
                    <w:top w:val="single" w:color="auto" w:sz="4" w:space="0"/>
                    <w:bottom w:val="single" w:color="auto" w:sz="4" w:space="0"/>
                    <w:right w:val="single" w:color="auto" w:sz="6" w:space="0"/>
                  </w:tcBorders>
                  <w:shd w:val="clear" w:color="auto" w:fill="auto"/>
                  <w:vAlign w:val="center"/>
                </w:tcPr>
                <w:p w14:paraId="616F45C1">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厂界西</w:t>
                  </w:r>
                  <w:r>
                    <w:rPr>
                      <w:rFonts w:hint="eastAsia" w:ascii="Times New Roman" w:hAnsi="Times New Roman" w:eastAsia="宋体" w:cs="Times New Roman"/>
                      <w:b w:val="0"/>
                      <w:bCs w:val="0"/>
                      <w:sz w:val="18"/>
                      <w:szCs w:val="18"/>
                      <w:highlight w:val="none"/>
                      <w:lang w:val="en-US" w:eastAsia="zh-CN"/>
                    </w:rPr>
                    <w:t>北</w:t>
                  </w:r>
                  <w:r>
                    <w:rPr>
                      <w:rFonts w:hint="default" w:ascii="Times New Roman" w:hAnsi="Times New Roman" w:eastAsia="宋体" w:cs="Times New Roman"/>
                      <w:b w:val="0"/>
                      <w:bCs w:val="0"/>
                      <w:sz w:val="18"/>
                      <w:szCs w:val="18"/>
                      <w:highlight w:val="none"/>
                      <w:lang w:val="en-US" w:eastAsia="zh-CN"/>
                    </w:rPr>
                    <w:t>侧外1m处</w:t>
                  </w:r>
                </w:p>
              </w:tc>
              <w:tc>
                <w:tcPr>
                  <w:tcW w:w="1111" w:type="dxa"/>
                  <w:tcBorders>
                    <w:top w:val="single" w:color="auto" w:sz="4" w:space="0"/>
                    <w:left w:val="single" w:color="auto" w:sz="6" w:space="0"/>
                    <w:bottom w:val="single" w:color="auto" w:sz="4" w:space="0"/>
                    <w:right w:val="single" w:color="auto" w:sz="6" w:space="0"/>
                  </w:tcBorders>
                  <w:vAlign w:val="center"/>
                </w:tcPr>
                <w:p w14:paraId="3CBE8060">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N3</w:t>
                  </w:r>
                </w:p>
              </w:tc>
              <w:tc>
                <w:tcPr>
                  <w:tcW w:w="3467" w:type="dxa"/>
                  <w:vMerge w:val="continue"/>
                  <w:tcBorders>
                    <w:top w:val="single" w:color="auto" w:sz="12" w:space="0"/>
                    <w:left w:val="single" w:color="auto" w:sz="6" w:space="0"/>
                    <w:bottom w:val="single" w:color="auto" w:sz="12" w:space="0"/>
                  </w:tcBorders>
                  <w:vAlign w:val="center"/>
                </w:tcPr>
                <w:p w14:paraId="2A36A1A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21"/>
                      <w:szCs w:val="21"/>
                    </w:rPr>
                  </w:pPr>
                </w:p>
              </w:tc>
              <w:tc>
                <w:tcPr>
                  <w:tcW w:w="1388" w:type="dxa"/>
                  <w:vMerge w:val="continue"/>
                  <w:tcBorders>
                    <w:top w:val="single" w:color="auto" w:sz="12" w:space="0"/>
                    <w:bottom w:val="single" w:color="auto" w:sz="12" w:space="0"/>
                  </w:tcBorders>
                  <w:vAlign w:val="center"/>
                </w:tcPr>
                <w:p w14:paraId="51DFD234">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sz w:val="21"/>
                      <w:szCs w:val="21"/>
                    </w:rPr>
                  </w:pPr>
                </w:p>
              </w:tc>
            </w:tr>
            <w:tr w14:paraId="2793B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1152" w:type="dxa"/>
                  <w:vMerge w:val="continue"/>
                  <w:tcBorders>
                    <w:right w:val="single" w:color="auto" w:sz="6" w:space="0"/>
                  </w:tcBorders>
                  <w:vAlign w:val="center"/>
                </w:tcPr>
                <w:p w14:paraId="6004BA59">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sz w:val="21"/>
                      <w:szCs w:val="21"/>
                    </w:rPr>
                  </w:pPr>
                </w:p>
              </w:tc>
              <w:tc>
                <w:tcPr>
                  <w:tcW w:w="2400" w:type="dxa"/>
                  <w:tcBorders>
                    <w:top w:val="single" w:color="auto" w:sz="4" w:space="0"/>
                    <w:bottom w:val="single" w:color="auto" w:sz="12" w:space="0"/>
                    <w:right w:val="single" w:color="auto" w:sz="6" w:space="0"/>
                  </w:tcBorders>
                  <w:shd w:val="clear" w:color="auto" w:fill="auto"/>
                  <w:vAlign w:val="center"/>
                </w:tcPr>
                <w:p w14:paraId="439B9231">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厂界</w:t>
                  </w:r>
                  <w:r>
                    <w:rPr>
                      <w:rFonts w:hint="eastAsia" w:ascii="Times New Roman" w:hAnsi="Times New Roman" w:eastAsia="宋体" w:cs="Times New Roman"/>
                      <w:b w:val="0"/>
                      <w:bCs w:val="0"/>
                      <w:sz w:val="18"/>
                      <w:szCs w:val="18"/>
                      <w:highlight w:val="none"/>
                      <w:lang w:val="en-US" w:eastAsia="zh-CN"/>
                    </w:rPr>
                    <w:t>北</w:t>
                  </w:r>
                  <w:r>
                    <w:rPr>
                      <w:rFonts w:hint="default" w:ascii="Times New Roman" w:hAnsi="Times New Roman" w:eastAsia="宋体" w:cs="Times New Roman"/>
                      <w:b w:val="0"/>
                      <w:bCs w:val="0"/>
                      <w:sz w:val="18"/>
                      <w:szCs w:val="18"/>
                      <w:highlight w:val="none"/>
                      <w:lang w:val="en-US" w:eastAsia="zh-CN"/>
                    </w:rPr>
                    <w:t>侧外1m处</w:t>
                  </w:r>
                </w:p>
              </w:tc>
              <w:tc>
                <w:tcPr>
                  <w:tcW w:w="1111" w:type="dxa"/>
                  <w:tcBorders>
                    <w:top w:val="single" w:color="auto" w:sz="4" w:space="0"/>
                    <w:left w:val="single" w:color="auto" w:sz="6" w:space="0"/>
                    <w:bottom w:val="single" w:color="auto" w:sz="12" w:space="0"/>
                    <w:right w:val="single" w:color="auto" w:sz="6" w:space="0"/>
                  </w:tcBorders>
                  <w:vAlign w:val="center"/>
                </w:tcPr>
                <w:p w14:paraId="28077613">
                  <w:pPr>
                    <w:pStyle w:val="1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N4</w:t>
                  </w:r>
                </w:p>
              </w:tc>
              <w:tc>
                <w:tcPr>
                  <w:tcW w:w="3467" w:type="dxa"/>
                  <w:vMerge w:val="continue"/>
                  <w:tcBorders>
                    <w:top w:val="single" w:color="auto" w:sz="12" w:space="0"/>
                    <w:left w:val="single" w:color="auto" w:sz="6" w:space="0"/>
                    <w:bottom w:val="single" w:color="auto" w:sz="12" w:space="0"/>
                  </w:tcBorders>
                  <w:vAlign w:val="center"/>
                </w:tcPr>
                <w:p w14:paraId="19D85B3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21"/>
                      <w:szCs w:val="21"/>
                    </w:rPr>
                  </w:pPr>
                </w:p>
              </w:tc>
              <w:tc>
                <w:tcPr>
                  <w:tcW w:w="1388" w:type="dxa"/>
                  <w:vMerge w:val="continue"/>
                  <w:tcBorders>
                    <w:top w:val="single" w:color="auto" w:sz="12" w:space="0"/>
                    <w:bottom w:val="single" w:color="auto" w:sz="12" w:space="0"/>
                  </w:tcBorders>
                  <w:vAlign w:val="center"/>
                </w:tcPr>
                <w:p w14:paraId="072876B7">
                  <w:pPr>
                    <w:pStyle w:val="16"/>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sz w:val="21"/>
                      <w:szCs w:val="21"/>
                    </w:rPr>
                  </w:pPr>
                </w:p>
              </w:tc>
            </w:tr>
          </w:tbl>
          <w:p w14:paraId="7EF45996">
            <w:pPr>
              <w:pageBreakBefore w:val="0"/>
              <w:widowControl w:val="0"/>
              <w:kinsoku/>
              <w:wordWrap/>
              <w:overflowPunct/>
              <w:topLinePunct w:val="0"/>
              <w:bidi w:val="0"/>
              <w:spacing w:line="360" w:lineRule="auto"/>
              <w:ind w:firstLine="464" w:firstLineChars="200"/>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监测</w:t>
            </w:r>
            <w:r>
              <w:rPr>
                <w:rFonts w:hint="default" w:ascii="Times New Roman" w:hAnsi="Times New Roman" w:eastAsia="宋体" w:cs="Times New Roman"/>
                <w:color w:val="auto"/>
                <w:spacing w:val="-4"/>
                <w:sz w:val="24"/>
                <w:szCs w:val="24"/>
                <w:lang w:eastAsia="zh-CN"/>
              </w:rPr>
              <w:t>期间监测点位布置如下图</w:t>
            </w:r>
            <w:r>
              <w:rPr>
                <w:rFonts w:hint="default" w:ascii="Times New Roman" w:hAnsi="Times New Roman" w:eastAsia="宋体" w:cs="Times New Roman"/>
                <w:color w:val="auto"/>
                <w:spacing w:val="-4"/>
                <w:sz w:val="24"/>
                <w:szCs w:val="24"/>
              </w:rPr>
              <w:t>。</w:t>
            </w:r>
          </w:p>
          <w:p w14:paraId="2C77161D">
            <w:pPr>
              <w:pStyle w:val="2"/>
              <w:keepNext/>
              <w:keepLines/>
              <w:pageBreakBefore w:val="0"/>
              <w:widowControl w:val="0"/>
              <w:kinsoku/>
              <w:wordWrap/>
              <w:overflowPunct/>
              <w:topLinePunct w:val="0"/>
              <w:autoSpaceDE/>
              <w:autoSpaceDN/>
              <w:bidi w:val="0"/>
              <w:adjustRightInd/>
              <w:snapToGrid/>
              <w:spacing w:before="0" w:after="0" w:line="240" w:lineRule="auto"/>
              <w:textAlignment w:val="auto"/>
            </w:pPr>
            <w:r>
              <w:drawing>
                <wp:inline distT="0" distB="0" distL="114300" distR="114300">
                  <wp:extent cx="6062345" cy="3347720"/>
                  <wp:effectExtent l="0" t="0" r="14605" b="508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50"/>
                          <a:stretch>
                            <a:fillRect/>
                          </a:stretch>
                        </pic:blipFill>
                        <pic:spPr>
                          <a:xfrm>
                            <a:off x="0" y="0"/>
                            <a:ext cx="6062345" cy="3347720"/>
                          </a:xfrm>
                          <a:prstGeom prst="rect">
                            <a:avLst/>
                          </a:prstGeom>
                          <a:noFill/>
                          <a:ln>
                            <a:noFill/>
                          </a:ln>
                        </pic:spPr>
                      </pic:pic>
                    </a:graphicData>
                  </a:graphic>
                </wp:inline>
              </w:drawing>
            </w:r>
          </w:p>
          <w:p w14:paraId="1F9D4324">
            <w:pPr>
              <w:jc w:val="center"/>
              <w:rPr>
                <w:rFonts w:hint="default"/>
              </w:rPr>
            </w:pPr>
            <w:r>
              <w:rPr>
                <w:rFonts w:hint="default" w:ascii="Times New Roman" w:hAnsi="Times New Roman" w:cs="Times New Roman"/>
                <w:b/>
                <w:bCs/>
                <w:color w:val="auto"/>
                <w:sz w:val="24"/>
                <w:vertAlign w:val="baseline"/>
                <w:lang w:val="en-US" w:eastAsia="zh-CN"/>
              </w:rPr>
              <w:t>图8-1  项目监测点位布置图</w:t>
            </w:r>
          </w:p>
          <w:p w14:paraId="1D210B2D">
            <w:pPr>
              <w:pStyle w:val="23"/>
              <w:spacing w:line="360" w:lineRule="auto"/>
              <w:jc w:val="center"/>
              <w:rPr>
                <w:rFonts w:hint="default" w:ascii="Times New Roman" w:hAnsi="Times New Roman" w:eastAsia="宋体" w:cs="Times New Roman"/>
                <w:color w:val="FF0000"/>
                <w:sz w:val="24"/>
                <w:lang w:val="en-US" w:eastAsia="zh-CN"/>
              </w:rPr>
            </w:pPr>
          </w:p>
        </w:tc>
      </w:tr>
      <w:tr w14:paraId="2473F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noWrap w:val="0"/>
            <w:vAlign w:val="top"/>
          </w:tcPr>
          <w:p w14:paraId="0FE831AA">
            <w:pPr>
              <w:pStyle w:val="23"/>
              <w:spacing w:line="360" w:lineRule="auto"/>
              <w:rPr>
                <w:rFonts w:hint="default" w:ascii="Times New Roman" w:hAnsi="Times New Roman" w:eastAsia="宋体" w:cs="Times New Roman"/>
                <w:b/>
                <w:color w:val="auto"/>
                <w:sz w:val="28"/>
                <w:lang w:val="en-US" w:eastAsia="zh-CN"/>
              </w:rPr>
            </w:pPr>
            <w:r>
              <w:rPr>
                <w:rFonts w:hint="default" w:ascii="Times New Roman" w:hAnsi="Times New Roman" w:eastAsia="宋体" w:cs="Times New Roman"/>
                <w:b/>
                <w:color w:val="auto"/>
                <w:sz w:val="28"/>
                <w:lang w:val="en-US" w:eastAsia="zh-CN"/>
              </w:rPr>
              <w:t>监测结果</w:t>
            </w:r>
          </w:p>
          <w:p w14:paraId="003C5A85">
            <w:pPr>
              <w:pageBreakBefore w:val="0"/>
              <w:widowControl w:val="0"/>
              <w:numPr>
                <w:ilvl w:val="0"/>
                <w:numId w:val="2"/>
              </w:numPr>
              <w:kinsoku/>
              <w:wordWrap/>
              <w:overflowPunct/>
              <w:topLinePunct w:val="0"/>
              <w:bidi w:val="0"/>
              <w:spacing w:line="360" w:lineRule="auto"/>
              <w:ind w:firstLine="464" w:firstLineChars="200"/>
              <w:textAlignment w:val="auto"/>
              <w:rPr>
                <w:rFonts w:hint="eastAsia" w:cs="Times New Roman"/>
                <w:color w:val="auto"/>
                <w:spacing w:val="-4"/>
                <w:sz w:val="24"/>
                <w:szCs w:val="24"/>
                <w:lang w:val="en-US" w:eastAsia="zh-CN"/>
              </w:rPr>
            </w:pPr>
            <w:r>
              <w:rPr>
                <w:rFonts w:hint="eastAsia" w:cs="Times New Roman"/>
                <w:color w:val="auto"/>
                <w:spacing w:val="-4"/>
                <w:sz w:val="24"/>
                <w:szCs w:val="24"/>
                <w:lang w:val="en-US" w:eastAsia="zh-CN"/>
              </w:rPr>
              <w:t>废气</w:t>
            </w:r>
          </w:p>
          <w:p w14:paraId="6C57739B">
            <w:pPr>
              <w:pStyle w:val="23"/>
              <w:keepNext w:val="0"/>
              <w:keepLines w:val="0"/>
              <w:pageBreakBefore w:val="0"/>
              <w:widowControl w:val="0"/>
              <w:numPr>
                <w:ilvl w:val="0"/>
                <w:numId w:val="0"/>
              </w:numPr>
              <w:kinsoku/>
              <w:wordWrap/>
              <w:overflowPunct/>
              <w:topLinePunct w:val="0"/>
              <w:autoSpaceDE w:val="0"/>
              <w:autoSpaceDN w:val="0"/>
              <w:bidi w:val="0"/>
              <w:adjustRightInd/>
              <w:snapToGrid/>
              <w:spacing w:before="10" w:line="240" w:lineRule="atLeast"/>
              <w:jc w:val="center"/>
              <w:textAlignment w:val="auto"/>
              <w:rPr>
                <w:rFonts w:hint="default" w:ascii="Times New Roman" w:hAnsi="Times New Roman" w:eastAsia="宋体" w:cs="Times New Roman"/>
                <w:b/>
                <w:bCs/>
                <w:color w:val="auto"/>
                <w:spacing w:val="0"/>
                <w:kern w:val="2"/>
                <w:sz w:val="24"/>
                <w:szCs w:val="22"/>
                <w:lang w:val="en-US" w:eastAsia="zh-CN" w:bidi="ar-SA"/>
              </w:rPr>
            </w:pPr>
            <w:r>
              <w:rPr>
                <w:rFonts w:hint="default" w:ascii="Times New Roman" w:hAnsi="Times New Roman" w:eastAsia="宋体" w:cs="Times New Roman"/>
                <w:b/>
                <w:bCs/>
                <w:color w:val="auto"/>
                <w:spacing w:val="0"/>
                <w:kern w:val="2"/>
                <w:sz w:val="24"/>
                <w:szCs w:val="22"/>
                <w:lang w:val="en-US" w:eastAsia="zh-CN" w:bidi="ar-SA"/>
              </w:rPr>
              <w:t>表8-</w:t>
            </w:r>
            <w:r>
              <w:rPr>
                <w:rFonts w:hint="eastAsia" w:cs="Times New Roman"/>
                <w:b/>
                <w:bCs/>
                <w:color w:val="auto"/>
                <w:spacing w:val="0"/>
                <w:kern w:val="2"/>
                <w:sz w:val="24"/>
                <w:szCs w:val="22"/>
                <w:lang w:val="en-US" w:eastAsia="zh-CN" w:bidi="ar-SA"/>
              </w:rPr>
              <w:t>3</w:t>
            </w:r>
            <w:r>
              <w:rPr>
                <w:rFonts w:hint="default" w:ascii="Times New Roman" w:hAnsi="Times New Roman" w:eastAsia="宋体" w:cs="Times New Roman"/>
                <w:b/>
                <w:bCs/>
                <w:color w:val="auto"/>
                <w:spacing w:val="0"/>
                <w:kern w:val="2"/>
                <w:sz w:val="24"/>
                <w:szCs w:val="22"/>
                <w:lang w:val="en-US" w:eastAsia="zh-CN" w:bidi="ar-SA"/>
              </w:rPr>
              <w:t xml:space="preserve">  无组织废气检测结果一</w:t>
            </w:r>
            <w:r>
              <w:rPr>
                <w:rFonts w:hint="default" w:ascii="Times New Roman" w:hAnsi="Times New Roman" w:eastAsia="宋体" w:cs="Times New Roman"/>
                <w:b/>
                <w:bCs/>
                <w:color w:val="auto"/>
                <w:spacing w:val="0"/>
                <w:kern w:val="2"/>
                <w:sz w:val="24"/>
                <w:szCs w:val="24"/>
                <w:lang w:val="en-US" w:eastAsia="zh-CN" w:bidi="ar-SA"/>
              </w:rPr>
              <w:t>览表</w:t>
            </w:r>
            <w:r>
              <w:rPr>
                <w:rFonts w:hint="eastAsia" w:cs="Times New Roman"/>
                <w:b/>
                <w:bCs/>
                <w:color w:val="auto"/>
                <w:spacing w:val="0"/>
                <w:kern w:val="2"/>
                <w:sz w:val="24"/>
                <w:szCs w:val="24"/>
                <w:lang w:val="en-US" w:eastAsia="zh-CN" w:bidi="ar-SA"/>
              </w:rPr>
              <w:t>（单位：</w:t>
            </w:r>
            <w:r>
              <w:rPr>
                <w:rFonts w:hint="default" w:ascii="Times New Roman" w:hAnsi="Times New Roman" w:cs="Times New Roman" w:eastAsiaTheme="minorEastAsia"/>
                <w:b/>
                <w:bCs/>
                <w:spacing w:val="0"/>
                <w:sz w:val="24"/>
                <w:szCs w:val="24"/>
              </w:rPr>
              <w:t>mg/m</w:t>
            </w:r>
            <w:r>
              <w:rPr>
                <w:rFonts w:hint="eastAsia" w:ascii="Times New Roman" w:hAnsi="Times New Roman" w:cs="Times New Roman" w:eastAsiaTheme="minorEastAsia"/>
                <w:b/>
                <w:bCs/>
                <w:spacing w:val="0"/>
                <w:sz w:val="24"/>
                <w:szCs w:val="24"/>
                <w:vertAlign w:val="superscript"/>
                <w:lang w:val="en-US" w:eastAsia="zh-CN"/>
              </w:rPr>
              <w:t>3</w:t>
            </w:r>
            <w:r>
              <w:rPr>
                <w:rFonts w:hint="eastAsia" w:cs="Times New Roman"/>
                <w:b/>
                <w:bCs/>
                <w:color w:val="auto"/>
                <w:spacing w:val="0"/>
                <w:kern w:val="2"/>
                <w:sz w:val="24"/>
                <w:szCs w:val="24"/>
                <w:lang w:val="en-US" w:eastAsia="zh-CN" w:bidi="ar-SA"/>
              </w:rPr>
              <w:t>）</w:t>
            </w:r>
          </w:p>
          <w:tbl>
            <w:tblPr>
              <w:tblStyle w:val="39"/>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83"/>
              <w:gridCol w:w="996"/>
              <w:gridCol w:w="917"/>
              <w:gridCol w:w="966"/>
              <w:gridCol w:w="937"/>
              <w:gridCol w:w="1000"/>
              <w:gridCol w:w="975"/>
              <w:gridCol w:w="1207"/>
              <w:gridCol w:w="1330"/>
            </w:tblGrid>
            <w:tr w14:paraId="19D4B94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3" w:type="dxa"/>
                  <w:vMerge w:val="restart"/>
                  <w:tcBorders>
                    <w:top w:val="single" w:color="auto" w:sz="12" w:space="0"/>
                  </w:tcBorders>
                  <w:vAlign w:val="center"/>
                </w:tcPr>
                <w:p w14:paraId="1973E106">
                  <w:pPr>
                    <w:pStyle w:val="45"/>
                    <w:keepNext w:val="0"/>
                    <w:keepLines w:val="0"/>
                    <w:pageBreakBefore w:val="0"/>
                    <w:widowControl w:val="0"/>
                    <w:kinsoku/>
                    <w:wordWrap/>
                    <w:overflowPunct/>
                    <w:topLinePunct w:val="0"/>
                    <w:bidi w:val="0"/>
                    <w:adjustRightInd/>
                    <w:snapToGrid/>
                    <w:spacing w:before="0" w:line="240" w:lineRule="auto"/>
                    <w:ind w:left="0"/>
                    <w:jc w:val="center"/>
                    <w:textAlignment w:val="auto"/>
                    <w:rPr>
                      <w:rFonts w:hint="default" w:ascii="Times New Roman" w:hAnsi="Times New Roman" w:cs="Times New Roman" w:eastAsiaTheme="minorEastAsia"/>
                      <w:spacing w:val="0"/>
                      <w:sz w:val="18"/>
                      <w:szCs w:val="18"/>
                    </w:rPr>
                  </w:pPr>
                  <w:r>
                    <w:rPr>
                      <w:rFonts w:hint="default" w:ascii="Times New Roman" w:hAnsi="Times New Roman" w:cs="Times New Roman" w:eastAsiaTheme="minorEastAsia"/>
                      <w:b/>
                      <w:bCs/>
                      <w:spacing w:val="0"/>
                      <w:sz w:val="18"/>
                      <w:szCs w:val="18"/>
                    </w:rPr>
                    <w:t>监测时间</w:t>
                  </w:r>
                </w:p>
              </w:tc>
              <w:tc>
                <w:tcPr>
                  <w:tcW w:w="996" w:type="dxa"/>
                  <w:vMerge w:val="restart"/>
                  <w:tcBorders>
                    <w:top w:val="single" w:color="auto" w:sz="12" w:space="0"/>
                  </w:tcBorders>
                  <w:vAlign w:val="center"/>
                </w:tcPr>
                <w:p w14:paraId="09063AF6">
                  <w:pPr>
                    <w:pStyle w:val="45"/>
                    <w:keepNext w:val="0"/>
                    <w:keepLines w:val="0"/>
                    <w:pageBreakBefore w:val="0"/>
                    <w:widowControl w:val="0"/>
                    <w:kinsoku/>
                    <w:wordWrap/>
                    <w:overflowPunct/>
                    <w:topLinePunct w:val="0"/>
                    <w:bidi w:val="0"/>
                    <w:adjustRightInd/>
                    <w:snapToGrid/>
                    <w:spacing w:before="0" w:line="240" w:lineRule="auto"/>
                    <w:ind w:left="0"/>
                    <w:jc w:val="center"/>
                    <w:textAlignment w:val="auto"/>
                    <w:rPr>
                      <w:rFonts w:hint="default" w:ascii="Times New Roman" w:hAnsi="Times New Roman" w:cs="Times New Roman" w:eastAsiaTheme="minorEastAsia"/>
                      <w:spacing w:val="0"/>
                      <w:sz w:val="18"/>
                      <w:szCs w:val="18"/>
                    </w:rPr>
                  </w:pPr>
                  <w:r>
                    <w:rPr>
                      <w:rFonts w:hint="default" w:ascii="Times New Roman" w:hAnsi="Times New Roman" w:cs="Times New Roman" w:eastAsiaTheme="minorEastAsia"/>
                      <w:b/>
                      <w:bCs/>
                      <w:spacing w:val="0"/>
                      <w:sz w:val="18"/>
                      <w:szCs w:val="18"/>
                    </w:rPr>
                    <w:t>检测项目</w:t>
                  </w:r>
                </w:p>
              </w:tc>
              <w:tc>
                <w:tcPr>
                  <w:tcW w:w="917" w:type="dxa"/>
                  <w:vMerge w:val="restart"/>
                  <w:tcBorders>
                    <w:top w:val="single" w:color="auto" w:sz="12" w:space="0"/>
                  </w:tcBorders>
                  <w:vAlign w:val="center"/>
                </w:tcPr>
                <w:p w14:paraId="0C33C876">
                  <w:pPr>
                    <w:pStyle w:val="45"/>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cs="Times New Roman" w:eastAsiaTheme="minorEastAsia"/>
                      <w:spacing w:val="0"/>
                      <w:sz w:val="18"/>
                      <w:szCs w:val="18"/>
                    </w:rPr>
                  </w:pPr>
                  <w:r>
                    <w:rPr>
                      <w:rFonts w:hint="default" w:ascii="Times New Roman" w:hAnsi="Times New Roman" w:cs="Times New Roman" w:eastAsiaTheme="minorEastAsia"/>
                      <w:b/>
                      <w:bCs/>
                      <w:spacing w:val="0"/>
                      <w:sz w:val="18"/>
                      <w:szCs w:val="18"/>
                    </w:rPr>
                    <w:t>测点编号</w:t>
                  </w:r>
                </w:p>
              </w:tc>
              <w:tc>
                <w:tcPr>
                  <w:tcW w:w="3878" w:type="dxa"/>
                  <w:gridSpan w:val="4"/>
                  <w:tcBorders>
                    <w:top w:val="single" w:color="auto" w:sz="12" w:space="0"/>
                    <w:bottom w:val="single" w:color="000000" w:sz="8" w:space="0"/>
                  </w:tcBorders>
                  <w:vAlign w:val="center"/>
                </w:tcPr>
                <w:p w14:paraId="6C655350">
                  <w:pPr>
                    <w:pStyle w:val="45"/>
                    <w:keepNext w:val="0"/>
                    <w:keepLines w:val="0"/>
                    <w:pageBreakBefore w:val="0"/>
                    <w:widowControl w:val="0"/>
                    <w:kinsoku/>
                    <w:wordWrap/>
                    <w:overflowPunct/>
                    <w:topLinePunct w:val="0"/>
                    <w:bidi w:val="0"/>
                    <w:adjustRightInd/>
                    <w:snapToGrid/>
                    <w:spacing w:before="0" w:line="240" w:lineRule="auto"/>
                    <w:ind w:left="0"/>
                    <w:jc w:val="center"/>
                    <w:textAlignment w:val="auto"/>
                    <w:rPr>
                      <w:rFonts w:hint="default" w:ascii="Times New Roman" w:hAnsi="Times New Roman" w:cs="Times New Roman" w:eastAsiaTheme="minorEastAsia"/>
                      <w:spacing w:val="0"/>
                      <w:sz w:val="18"/>
                      <w:szCs w:val="18"/>
                    </w:rPr>
                  </w:pPr>
                  <w:r>
                    <w:rPr>
                      <w:rFonts w:hint="default" w:ascii="Times New Roman" w:hAnsi="Times New Roman" w:cs="Times New Roman" w:eastAsiaTheme="minorEastAsia"/>
                      <w:b/>
                      <w:bCs/>
                      <w:spacing w:val="0"/>
                      <w:sz w:val="18"/>
                      <w:szCs w:val="18"/>
                    </w:rPr>
                    <w:t>检测结果</w:t>
                  </w:r>
                </w:p>
              </w:tc>
              <w:tc>
                <w:tcPr>
                  <w:tcW w:w="1207" w:type="dxa"/>
                  <w:vMerge w:val="restart"/>
                  <w:tcBorders>
                    <w:top w:val="single" w:color="auto" w:sz="12" w:space="0"/>
                    <w:bottom w:val="nil"/>
                  </w:tcBorders>
                  <w:vAlign w:val="center"/>
                </w:tcPr>
                <w:p w14:paraId="78945A7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spacing w:val="0"/>
                      <w:sz w:val="18"/>
                      <w:szCs w:val="18"/>
                    </w:rPr>
                  </w:pPr>
                  <w:r>
                    <w:rPr>
                      <w:rFonts w:hint="default" w:ascii="Times New Roman" w:hAnsi="Times New Roman" w:eastAsia="宋体" w:cs="Times New Roman"/>
                      <w:b/>
                      <w:bCs/>
                      <w:color w:val="auto"/>
                      <w:spacing w:val="0"/>
                      <w:sz w:val="18"/>
                      <w:szCs w:val="18"/>
                      <w:lang w:val="en-US" w:eastAsia="zh-CN"/>
                    </w:rPr>
                    <w:t>标准值</w:t>
                  </w:r>
                </w:p>
              </w:tc>
              <w:tc>
                <w:tcPr>
                  <w:tcW w:w="1330" w:type="dxa"/>
                  <w:vMerge w:val="restart"/>
                  <w:tcBorders>
                    <w:top w:val="single" w:color="auto" w:sz="12" w:space="0"/>
                    <w:bottom w:val="nil"/>
                  </w:tcBorders>
                  <w:vAlign w:val="center"/>
                </w:tcPr>
                <w:p w14:paraId="270FE14F">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spacing w:val="0"/>
                      <w:sz w:val="18"/>
                      <w:szCs w:val="18"/>
                    </w:rPr>
                  </w:pPr>
                  <w:r>
                    <w:rPr>
                      <w:rFonts w:hint="default" w:ascii="Times New Roman" w:hAnsi="Times New Roman" w:eastAsia="宋体" w:cs="Times New Roman"/>
                      <w:b/>
                      <w:bCs/>
                      <w:color w:val="auto"/>
                      <w:spacing w:val="0"/>
                      <w:sz w:val="18"/>
                      <w:szCs w:val="18"/>
                      <w:lang w:val="en-US" w:eastAsia="zh-CN"/>
                    </w:rPr>
                    <w:t>达标情况</w:t>
                  </w:r>
                </w:p>
              </w:tc>
            </w:tr>
            <w:tr w14:paraId="37B9C9D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3" w:type="dxa"/>
                  <w:vMerge w:val="continue"/>
                  <w:tcBorders>
                    <w:bottom w:val="single" w:color="auto" w:sz="12" w:space="0"/>
                  </w:tcBorders>
                  <w:vAlign w:val="center"/>
                </w:tcPr>
                <w:p w14:paraId="351D3052">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spacing w:val="0"/>
                      <w:sz w:val="18"/>
                      <w:szCs w:val="18"/>
                    </w:rPr>
                  </w:pPr>
                </w:p>
              </w:tc>
              <w:tc>
                <w:tcPr>
                  <w:tcW w:w="996" w:type="dxa"/>
                  <w:vMerge w:val="continue"/>
                  <w:tcBorders>
                    <w:bottom w:val="single" w:color="auto" w:sz="12" w:space="0"/>
                  </w:tcBorders>
                  <w:vAlign w:val="center"/>
                </w:tcPr>
                <w:p w14:paraId="5E276E35">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spacing w:val="0"/>
                      <w:sz w:val="18"/>
                      <w:szCs w:val="18"/>
                    </w:rPr>
                  </w:pPr>
                </w:p>
              </w:tc>
              <w:tc>
                <w:tcPr>
                  <w:tcW w:w="917" w:type="dxa"/>
                  <w:vMerge w:val="continue"/>
                  <w:tcBorders>
                    <w:bottom w:val="single" w:color="auto" w:sz="12" w:space="0"/>
                  </w:tcBorders>
                  <w:vAlign w:val="center"/>
                </w:tcPr>
                <w:p w14:paraId="6E58B1ED">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spacing w:val="0"/>
                      <w:sz w:val="18"/>
                      <w:szCs w:val="18"/>
                    </w:rPr>
                  </w:pPr>
                </w:p>
              </w:tc>
              <w:tc>
                <w:tcPr>
                  <w:tcW w:w="966" w:type="dxa"/>
                  <w:tcBorders>
                    <w:top w:val="single" w:color="000000" w:sz="8" w:space="0"/>
                    <w:bottom w:val="single" w:color="auto" w:sz="12" w:space="0"/>
                  </w:tcBorders>
                  <w:vAlign w:val="center"/>
                </w:tcPr>
                <w:p w14:paraId="7581DBC2">
                  <w:pPr>
                    <w:pStyle w:val="45"/>
                    <w:keepNext w:val="0"/>
                    <w:keepLines w:val="0"/>
                    <w:pageBreakBefore w:val="0"/>
                    <w:widowControl w:val="0"/>
                    <w:kinsoku/>
                    <w:wordWrap/>
                    <w:overflowPunct/>
                    <w:topLinePunct w:val="0"/>
                    <w:bidi w:val="0"/>
                    <w:adjustRightInd/>
                    <w:snapToGrid/>
                    <w:spacing w:before="0" w:line="240" w:lineRule="auto"/>
                    <w:ind w:left="0"/>
                    <w:jc w:val="center"/>
                    <w:textAlignment w:val="auto"/>
                    <w:rPr>
                      <w:rFonts w:hint="default" w:ascii="Times New Roman" w:hAnsi="Times New Roman" w:cs="Times New Roman" w:eastAsiaTheme="minorEastAsia"/>
                      <w:spacing w:val="0"/>
                      <w:sz w:val="18"/>
                      <w:szCs w:val="18"/>
                    </w:rPr>
                  </w:pPr>
                  <w:r>
                    <w:rPr>
                      <w:rFonts w:hint="default" w:ascii="Times New Roman" w:hAnsi="Times New Roman" w:cs="Times New Roman" w:eastAsiaTheme="minorEastAsia"/>
                      <w:spacing w:val="0"/>
                      <w:sz w:val="18"/>
                      <w:szCs w:val="18"/>
                    </w:rPr>
                    <w:t>G1</w:t>
                  </w:r>
                </w:p>
              </w:tc>
              <w:tc>
                <w:tcPr>
                  <w:tcW w:w="937" w:type="dxa"/>
                  <w:tcBorders>
                    <w:top w:val="single" w:color="000000" w:sz="8" w:space="0"/>
                    <w:bottom w:val="single" w:color="auto" w:sz="12" w:space="0"/>
                  </w:tcBorders>
                  <w:vAlign w:val="center"/>
                </w:tcPr>
                <w:p w14:paraId="009D75FD">
                  <w:pPr>
                    <w:pStyle w:val="45"/>
                    <w:keepNext w:val="0"/>
                    <w:keepLines w:val="0"/>
                    <w:pageBreakBefore w:val="0"/>
                    <w:widowControl w:val="0"/>
                    <w:kinsoku/>
                    <w:wordWrap/>
                    <w:overflowPunct/>
                    <w:topLinePunct w:val="0"/>
                    <w:bidi w:val="0"/>
                    <w:adjustRightInd/>
                    <w:snapToGrid/>
                    <w:spacing w:before="0" w:line="240" w:lineRule="auto"/>
                    <w:ind w:left="0"/>
                    <w:jc w:val="center"/>
                    <w:textAlignment w:val="auto"/>
                    <w:rPr>
                      <w:rFonts w:hint="default" w:ascii="Times New Roman" w:hAnsi="Times New Roman" w:cs="Times New Roman" w:eastAsiaTheme="minorEastAsia"/>
                      <w:spacing w:val="0"/>
                      <w:sz w:val="18"/>
                      <w:szCs w:val="18"/>
                    </w:rPr>
                  </w:pPr>
                  <w:r>
                    <w:rPr>
                      <w:rFonts w:hint="default" w:ascii="Times New Roman" w:hAnsi="Times New Roman" w:cs="Times New Roman" w:eastAsiaTheme="minorEastAsia"/>
                      <w:spacing w:val="0"/>
                      <w:sz w:val="18"/>
                      <w:szCs w:val="18"/>
                    </w:rPr>
                    <w:t>G2</w:t>
                  </w:r>
                </w:p>
              </w:tc>
              <w:tc>
                <w:tcPr>
                  <w:tcW w:w="1000" w:type="dxa"/>
                  <w:tcBorders>
                    <w:top w:val="single" w:color="000000" w:sz="8" w:space="0"/>
                    <w:bottom w:val="single" w:color="auto" w:sz="12" w:space="0"/>
                  </w:tcBorders>
                  <w:vAlign w:val="center"/>
                </w:tcPr>
                <w:p w14:paraId="79729576">
                  <w:pPr>
                    <w:pStyle w:val="45"/>
                    <w:keepNext w:val="0"/>
                    <w:keepLines w:val="0"/>
                    <w:pageBreakBefore w:val="0"/>
                    <w:widowControl w:val="0"/>
                    <w:kinsoku/>
                    <w:wordWrap/>
                    <w:overflowPunct/>
                    <w:topLinePunct w:val="0"/>
                    <w:bidi w:val="0"/>
                    <w:adjustRightInd/>
                    <w:snapToGrid/>
                    <w:spacing w:before="0" w:line="240" w:lineRule="auto"/>
                    <w:ind w:left="0"/>
                    <w:jc w:val="center"/>
                    <w:textAlignment w:val="auto"/>
                    <w:rPr>
                      <w:rFonts w:hint="default" w:ascii="Times New Roman" w:hAnsi="Times New Roman" w:cs="Times New Roman" w:eastAsiaTheme="minorEastAsia"/>
                      <w:b/>
                      <w:bCs/>
                      <w:spacing w:val="0"/>
                      <w:sz w:val="18"/>
                      <w:szCs w:val="18"/>
                    </w:rPr>
                  </w:pPr>
                  <w:r>
                    <w:rPr>
                      <w:rFonts w:hint="default" w:ascii="Times New Roman" w:hAnsi="Times New Roman" w:cs="Times New Roman" w:eastAsiaTheme="minorEastAsia"/>
                      <w:spacing w:val="0"/>
                      <w:sz w:val="18"/>
                      <w:szCs w:val="18"/>
                    </w:rPr>
                    <w:t>G3</w:t>
                  </w:r>
                </w:p>
              </w:tc>
              <w:tc>
                <w:tcPr>
                  <w:tcW w:w="975" w:type="dxa"/>
                  <w:tcBorders>
                    <w:top w:val="single" w:color="000000" w:sz="8" w:space="0"/>
                    <w:bottom w:val="single" w:color="auto" w:sz="12" w:space="0"/>
                  </w:tcBorders>
                  <w:vAlign w:val="center"/>
                </w:tcPr>
                <w:p w14:paraId="7FDFD78B">
                  <w:pPr>
                    <w:pStyle w:val="45"/>
                    <w:keepNext w:val="0"/>
                    <w:keepLines w:val="0"/>
                    <w:pageBreakBefore w:val="0"/>
                    <w:widowControl w:val="0"/>
                    <w:kinsoku/>
                    <w:wordWrap/>
                    <w:overflowPunct/>
                    <w:topLinePunct w:val="0"/>
                    <w:bidi w:val="0"/>
                    <w:adjustRightInd/>
                    <w:snapToGrid/>
                    <w:spacing w:before="0" w:line="240" w:lineRule="auto"/>
                    <w:ind w:left="0"/>
                    <w:jc w:val="center"/>
                    <w:textAlignment w:val="auto"/>
                    <w:rPr>
                      <w:rFonts w:hint="default" w:ascii="Times New Roman" w:hAnsi="Times New Roman" w:cs="Times New Roman" w:eastAsiaTheme="minorEastAsia"/>
                      <w:b/>
                      <w:bCs/>
                      <w:spacing w:val="0"/>
                      <w:sz w:val="18"/>
                      <w:szCs w:val="18"/>
                    </w:rPr>
                  </w:pPr>
                  <w:r>
                    <w:rPr>
                      <w:rFonts w:hint="default" w:ascii="Times New Roman" w:hAnsi="Times New Roman" w:cs="Times New Roman" w:eastAsiaTheme="minorEastAsia"/>
                      <w:spacing w:val="0"/>
                      <w:sz w:val="18"/>
                      <w:szCs w:val="18"/>
                    </w:rPr>
                    <w:t>G</w:t>
                  </w:r>
                  <w:r>
                    <w:rPr>
                      <w:rFonts w:hint="eastAsia" w:ascii="Times New Roman" w:hAnsi="Times New Roman" w:cs="Times New Roman" w:eastAsiaTheme="minorEastAsia"/>
                      <w:spacing w:val="0"/>
                      <w:sz w:val="18"/>
                      <w:szCs w:val="18"/>
                      <w:lang w:val="en-US" w:eastAsia="zh-CN"/>
                    </w:rPr>
                    <w:t>4</w:t>
                  </w:r>
                </w:p>
              </w:tc>
              <w:tc>
                <w:tcPr>
                  <w:tcW w:w="1207" w:type="dxa"/>
                  <w:vMerge w:val="continue"/>
                  <w:tcBorders>
                    <w:top w:val="nil"/>
                    <w:bottom w:val="single" w:color="auto" w:sz="12" w:space="0"/>
                  </w:tcBorders>
                  <w:vAlign w:val="center"/>
                </w:tcPr>
                <w:p w14:paraId="4582E806">
                  <w:pPr>
                    <w:pStyle w:val="45"/>
                    <w:keepNext w:val="0"/>
                    <w:keepLines w:val="0"/>
                    <w:pageBreakBefore w:val="0"/>
                    <w:widowControl w:val="0"/>
                    <w:kinsoku/>
                    <w:wordWrap/>
                    <w:overflowPunct/>
                    <w:topLinePunct w:val="0"/>
                    <w:bidi w:val="0"/>
                    <w:adjustRightInd/>
                    <w:snapToGrid/>
                    <w:spacing w:before="0" w:line="240" w:lineRule="auto"/>
                    <w:ind w:left="0"/>
                    <w:jc w:val="center"/>
                    <w:textAlignment w:val="auto"/>
                    <w:rPr>
                      <w:rFonts w:hint="default" w:ascii="Times New Roman" w:hAnsi="Times New Roman" w:cs="Times New Roman" w:eastAsiaTheme="minorEastAsia"/>
                      <w:spacing w:val="0"/>
                      <w:sz w:val="18"/>
                      <w:szCs w:val="18"/>
                    </w:rPr>
                  </w:pPr>
                </w:p>
              </w:tc>
              <w:tc>
                <w:tcPr>
                  <w:tcW w:w="1330" w:type="dxa"/>
                  <w:vMerge w:val="continue"/>
                  <w:tcBorders>
                    <w:top w:val="nil"/>
                    <w:bottom w:val="single" w:color="auto" w:sz="12" w:space="0"/>
                  </w:tcBorders>
                  <w:vAlign w:val="center"/>
                </w:tcPr>
                <w:p w14:paraId="58BD509F">
                  <w:pPr>
                    <w:pStyle w:val="45"/>
                    <w:keepNext w:val="0"/>
                    <w:keepLines w:val="0"/>
                    <w:pageBreakBefore w:val="0"/>
                    <w:widowControl w:val="0"/>
                    <w:kinsoku/>
                    <w:wordWrap/>
                    <w:overflowPunct/>
                    <w:topLinePunct w:val="0"/>
                    <w:bidi w:val="0"/>
                    <w:adjustRightInd/>
                    <w:snapToGrid/>
                    <w:spacing w:before="0" w:line="240" w:lineRule="auto"/>
                    <w:ind w:left="0"/>
                    <w:jc w:val="center"/>
                    <w:textAlignment w:val="auto"/>
                    <w:rPr>
                      <w:rFonts w:hint="default" w:ascii="Times New Roman" w:hAnsi="Times New Roman" w:cs="Times New Roman" w:eastAsiaTheme="minorEastAsia"/>
                      <w:spacing w:val="0"/>
                      <w:sz w:val="18"/>
                      <w:szCs w:val="18"/>
                    </w:rPr>
                  </w:pPr>
                </w:p>
              </w:tc>
            </w:tr>
            <w:tr w14:paraId="6DF66BD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3" w:type="dxa"/>
                  <w:tcBorders>
                    <w:top w:val="single" w:color="auto" w:sz="12" w:space="0"/>
                    <w:bottom w:val="single" w:color="auto" w:sz="12" w:space="0"/>
                  </w:tcBorders>
                  <w:vAlign w:val="center"/>
                </w:tcPr>
                <w:p w14:paraId="7E81C255">
                  <w:pPr>
                    <w:pStyle w:val="45"/>
                    <w:keepNext w:val="0"/>
                    <w:keepLines w:val="0"/>
                    <w:pageBreakBefore w:val="0"/>
                    <w:widowControl w:val="0"/>
                    <w:kinsoku/>
                    <w:wordWrap/>
                    <w:overflowPunct/>
                    <w:topLinePunct w:val="0"/>
                    <w:bidi w:val="0"/>
                    <w:adjustRightInd/>
                    <w:snapToGrid/>
                    <w:spacing w:before="0" w:line="240" w:lineRule="auto"/>
                    <w:ind w:left="0" w:right="0" w:firstLine="0"/>
                    <w:jc w:val="center"/>
                    <w:textAlignment w:val="auto"/>
                    <w:rPr>
                      <w:rFonts w:hint="default" w:ascii="Times New Roman" w:hAnsi="Times New Roman" w:cs="Times New Roman" w:eastAsiaTheme="minorEastAsia"/>
                      <w:spacing w:val="0"/>
                      <w:sz w:val="18"/>
                      <w:szCs w:val="18"/>
                    </w:rPr>
                  </w:pPr>
                  <w:r>
                    <w:rPr>
                      <w:rFonts w:hint="default" w:ascii="Times New Roman" w:hAnsi="Times New Roman" w:cs="Times New Roman" w:eastAsiaTheme="minorEastAsia"/>
                      <w:spacing w:val="0"/>
                      <w:sz w:val="18"/>
                      <w:szCs w:val="18"/>
                    </w:rPr>
                    <w:t>202</w:t>
                  </w:r>
                  <w:r>
                    <w:rPr>
                      <w:rFonts w:hint="eastAsia" w:ascii="Times New Roman" w:hAnsi="Times New Roman" w:cs="Times New Roman" w:eastAsiaTheme="minorEastAsia"/>
                      <w:spacing w:val="0"/>
                      <w:sz w:val="18"/>
                      <w:szCs w:val="18"/>
                      <w:lang w:val="en-US" w:eastAsia="zh-CN"/>
                    </w:rPr>
                    <w:t>5</w:t>
                  </w:r>
                  <w:r>
                    <w:rPr>
                      <w:rFonts w:hint="default" w:ascii="Times New Roman" w:hAnsi="Times New Roman" w:cs="Times New Roman" w:eastAsiaTheme="minorEastAsia"/>
                      <w:spacing w:val="0"/>
                      <w:sz w:val="18"/>
                      <w:szCs w:val="18"/>
                    </w:rPr>
                    <w:t>年</w:t>
                  </w:r>
                </w:p>
                <w:p w14:paraId="46321525">
                  <w:pPr>
                    <w:pStyle w:val="45"/>
                    <w:keepNext w:val="0"/>
                    <w:keepLines w:val="0"/>
                    <w:pageBreakBefore w:val="0"/>
                    <w:widowControl w:val="0"/>
                    <w:kinsoku/>
                    <w:wordWrap/>
                    <w:overflowPunct/>
                    <w:topLinePunct w:val="0"/>
                    <w:bidi w:val="0"/>
                    <w:adjustRightInd/>
                    <w:snapToGrid/>
                    <w:spacing w:before="0" w:line="240" w:lineRule="auto"/>
                    <w:ind w:left="0" w:right="0" w:firstLine="0"/>
                    <w:jc w:val="center"/>
                    <w:textAlignment w:val="auto"/>
                    <w:rPr>
                      <w:rFonts w:hint="default" w:ascii="Times New Roman" w:hAnsi="Times New Roman" w:cs="Times New Roman" w:eastAsiaTheme="minorEastAsia"/>
                      <w:spacing w:val="0"/>
                      <w:sz w:val="18"/>
                      <w:szCs w:val="18"/>
                    </w:rPr>
                  </w:pPr>
                  <w:r>
                    <w:rPr>
                      <w:rFonts w:hint="eastAsia" w:ascii="Times New Roman" w:hAnsi="Times New Roman" w:cs="Times New Roman" w:eastAsiaTheme="minorEastAsia"/>
                      <w:spacing w:val="0"/>
                      <w:sz w:val="18"/>
                      <w:szCs w:val="18"/>
                      <w:lang w:val="en-US" w:eastAsia="zh-CN"/>
                    </w:rPr>
                    <w:t>11</w:t>
                  </w:r>
                  <w:r>
                    <w:rPr>
                      <w:rFonts w:hint="default" w:ascii="Times New Roman" w:hAnsi="Times New Roman" w:cs="Times New Roman" w:eastAsiaTheme="minorEastAsia"/>
                      <w:spacing w:val="0"/>
                      <w:sz w:val="18"/>
                      <w:szCs w:val="18"/>
                    </w:rPr>
                    <w:t>月</w:t>
                  </w:r>
                  <w:r>
                    <w:rPr>
                      <w:rFonts w:hint="eastAsia" w:ascii="Times New Roman" w:hAnsi="Times New Roman" w:cs="Times New Roman" w:eastAsiaTheme="minorEastAsia"/>
                      <w:spacing w:val="0"/>
                      <w:sz w:val="18"/>
                      <w:szCs w:val="18"/>
                      <w:lang w:val="en-US" w:eastAsia="zh-CN"/>
                    </w:rPr>
                    <w:t>14</w:t>
                  </w:r>
                  <w:r>
                    <w:rPr>
                      <w:rFonts w:hint="default" w:ascii="Times New Roman" w:hAnsi="Times New Roman" w:cs="Times New Roman" w:eastAsiaTheme="minorEastAsia"/>
                      <w:spacing w:val="0"/>
                      <w:sz w:val="18"/>
                      <w:szCs w:val="18"/>
                    </w:rPr>
                    <w:t>日</w:t>
                  </w:r>
                </w:p>
              </w:tc>
              <w:tc>
                <w:tcPr>
                  <w:tcW w:w="996" w:type="dxa"/>
                  <w:tcBorders>
                    <w:top w:val="single" w:color="auto" w:sz="12" w:space="0"/>
                    <w:bottom w:val="single" w:color="auto" w:sz="12" w:space="0"/>
                  </w:tcBorders>
                  <w:vAlign w:val="center"/>
                </w:tcPr>
                <w:p w14:paraId="10BA01CD">
                  <w:pPr>
                    <w:pStyle w:val="45"/>
                    <w:keepNext w:val="0"/>
                    <w:keepLines w:val="0"/>
                    <w:pageBreakBefore w:val="0"/>
                    <w:widowControl w:val="0"/>
                    <w:kinsoku/>
                    <w:wordWrap/>
                    <w:overflowPunct/>
                    <w:topLinePunct w:val="0"/>
                    <w:bidi w:val="0"/>
                    <w:adjustRightInd/>
                    <w:snapToGrid/>
                    <w:spacing w:before="0" w:line="240" w:lineRule="auto"/>
                    <w:ind w:left="0"/>
                    <w:jc w:val="center"/>
                    <w:textAlignment w:val="auto"/>
                    <w:rPr>
                      <w:rFonts w:hint="default" w:ascii="Times New Roman" w:hAnsi="Times New Roman" w:cs="Times New Roman" w:eastAsiaTheme="minorEastAsia"/>
                      <w:spacing w:val="0"/>
                      <w:sz w:val="18"/>
                      <w:szCs w:val="18"/>
                    </w:rPr>
                  </w:pPr>
                  <w:r>
                    <w:rPr>
                      <w:rFonts w:hint="default" w:ascii="Times New Roman" w:hAnsi="Times New Roman" w:cs="Times New Roman" w:eastAsiaTheme="minorEastAsia"/>
                      <w:spacing w:val="0"/>
                      <w:sz w:val="18"/>
                      <w:szCs w:val="18"/>
                    </w:rPr>
                    <w:t>颗粒物</w:t>
                  </w:r>
                </w:p>
              </w:tc>
              <w:tc>
                <w:tcPr>
                  <w:tcW w:w="917" w:type="dxa"/>
                  <w:tcBorders>
                    <w:top w:val="single" w:color="auto" w:sz="12" w:space="0"/>
                    <w:bottom w:val="single" w:color="auto" w:sz="12" w:space="0"/>
                  </w:tcBorders>
                  <w:vAlign w:val="center"/>
                </w:tcPr>
                <w:p w14:paraId="5C6C1507">
                  <w:pPr>
                    <w:pStyle w:val="45"/>
                    <w:keepNext w:val="0"/>
                    <w:keepLines w:val="0"/>
                    <w:pageBreakBefore w:val="0"/>
                    <w:widowControl w:val="0"/>
                    <w:kinsoku/>
                    <w:wordWrap/>
                    <w:overflowPunct/>
                    <w:topLinePunct w:val="0"/>
                    <w:bidi w:val="0"/>
                    <w:adjustRightInd/>
                    <w:snapToGrid/>
                    <w:spacing w:before="0" w:line="240" w:lineRule="auto"/>
                    <w:ind w:left="0"/>
                    <w:jc w:val="center"/>
                    <w:textAlignment w:val="auto"/>
                    <w:rPr>
                      <w:rFonts w:hint="default" w:ascii="Times New Roman" w:hAnsi="Times New Roman" w:cs="Times New Roman" w:eastAsiaTheme="minorEastAsia"/>
                      <w:spacing w:val="0"/>
                      <w:sz w:val="18"/>
                      <w:szCs w:val="18"/>
                    </w:rPr>
                  </w:pPr>
                  <w:r>
                    <w:rPr>
                      <w:rFonts w:hint="default" w:ascii="Times New Roman" w:hAnsi="Times New Roman" w:cs="Times New Roman" w:eastAsiaTheme="minorEastAsia"/>
                      <w:spacing w:val="0"/>
                      <w:sz w:val="18"/>
                      <w:szCs w:val="18"/>
                    </w:rPr>
                    <w:t>G1</w:t>
                  </w:r>
                </w:p>
              </w:tc>
              <w:tc>
                <w:tcPr>
                  <w:tcW w:w="966" w:type="dxa"/>
                  <w:tcBorders>
                    <w:top w:val="single" w:color="auto" w:sz="12" w:space="0"/>
                    <w:bottom w:val="single" w:color="auto" w:sz="12" w:space="0"/>
                  </w:tcBorders>
                  <w:vAlign w:val="center"/>
                </w:tcPr>
                <w:p w14:paraId="5382BEDB">
                  <w:pPr>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default" w:ascii="Times New Roman" w:hAnsi="Times New Roman" w:cs="Times New Roman" w:eastAsiaTheme="minorEastAsia"/>
                      <w:spacing w:val="0"/>
                      <w:sz w:val="18"/>
                      <w:szCs w:val="18"/>
                      <w:lang w:val="en-US" w:eastAsia="zh-CN"/>
                    </w:rPr>
                  </w:pPr>
                  <w:r>
                    <w:rPr>
                      <w:rFonts w:hint="eastAsia" w:ascii="Times New Roman" w:hAnsi="Times New Roman" w:cs="Times New Roman"/>
                      <w:kern w:val="2"/>
                      <w:sz w:val="21"/>
                      <w:szCs w:val="21"/>
                      <w:highlight w:val="none"/>
                      <w:lang w:val="en-US" w:eastAsia="zh-CN" w:bidi="ar-SA"/>
                    </w:rPr>
                    <w:t>0.289</w:t>
                  </w:r>
                </w:p>
              </w:tc>
              <w:tc>
                <w:tcPr>
                  <w:tcW w:w="937" w:type="dxa"/>
                  <w:tcBorders>
                    <w:top w:val="single" w:color="auto" w:sz="12" w:space="0"/>
                    <w:bottom w:val="single" w:color="auto" w:sz="12" w:space="0"/>
                  </w:tcBorders>
                  <w:vAlign w:val="center"/>
                </w:tcPr>
                <w:p w14:paraId="1EEBE58E">
                  <w:pPr>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default" w:ascii="Times New Roman" w:hAnsi="Times New Roman" w:cs="Times New Roman" w:eastAsiaTheme="minorEastAsia"/>
                      <w:spacing w:val="0"/>
                      <w:sz w:val="18"/>
                      <w:szCs w:val="18"/>
                      <w:lang w:val="en-US" w:eastAsia="zh-CN"/>
                    </w:rPr>
                  </w:pPr>
                  <w:r>
                    <w:rPr>
                      <w:rFonts w:hint="eastAsia" w:ascii="Times New Roman" w:hAnsi="Times New Roman" w:cs="Times New Roman"/>
                      <w:kern w:val="2"/>
                      <w:sz w:val="21"/>
                      <w:szCs w:val="21"/>
                      <w:highlight w:val="none"/>
                      <w:lang w:val="en-US" w:eastAsia="zh-CN" w:bidi="ar-SA"/>
                    </w:rPr>
                    <w:t>0.356</w:t>
                  </w:r>
                </w:p>
              </w:tc>
              <w:tc>
                <w:tcPr>
                  <w:tcW w:w="1000" w:type="dxa"/>
                  <w:tcBorders>
                    <w:top w:val="single" w:color="auto" w:sz="12" w:space="0"/>
                    <w:bottom w:val="single" w:color="auto" w:sz="12" w:space="0"/>
                  </w:tcBorders>
                  <w:vAlign w:val="center"/>
                </w:tcPr>
                <w:p w14:paraId="574295E7">
                  <w:pPr>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default" w:ascii="Times New Roman" w:hAnsi="Times New Roman" w:cs="Times New Roman" w:eastAsiaTheme="minorEastAsia"/>
                      <w:spacing w:val="0"/>
                      <w:sz w:val="18"/>
                      <w:szCs w:val="18"/>
                      <w:lang w:val="en-US" w:eastAsia="zh-CN"/>
                    </w:rPr>
                  </w:pPr>
                  <w:r>
                    <w:rPr>
                      <w:rFonts w:hint="eastAsia" w:ascii="Times New Roman" w:hAnsi="Times New Roman" w:cs="Times New Roman"/>
                      <w:kern w:val="2"/>
                      <w:sz w:val="21"/>
                      <w:szCs w:val="21"/>
                      <w:highlight w:val="none"/>
                      <w:lang w:val="en-US" w:eastAsia="zh-CN" w:bidi="ar-SA"/>
                    </w:rPr>
                    <w:t>0.372</w:t>
                  </w:r>
                </w:p>
              </w:tc>
              <w:tc>
                <w:tcPr>
                  <w:tcW w:w="975" w:type="dxa"/>
                  <w:tcBorders>
                    <w:top w:val="single" w:color="auto" w:sz="12" w:space="0"/>
                    <w:bottom w:val="single" w:color="auto" w:sz="12" w:space="0"/>
                  </w:tcBorders>
                  <w:vAlign w:val="center"/>
                </w:tcPr>
                <w:p w14:paraId="671E9DBE">
                  <w:pPr>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default" w:ascii="Times New Roman" w:hAnsi="Times New Roman" w:cs="Times New Roman" w:eastAsiaTheme="minorEastAsia"/>
                      <w:spacing w:val="0"/>
                      <w:sz w:val="18"/>
                      <w:szCs w:val="18"/>
                      <w:lang w:val="en-US" w:eastAsia="zh-CN"/>
                    </w:rPr>
                  </w:pPr>
                  <w:r>
                    <w:rPr>
                      <w:rFonts w:hint="eastAsia" w:ascii="Times New Roman" w:hAnsi="Times New Roman" w:cs="Times New Roman"/>
                      <w:kern w:val="2"/>
                      <w:sz w:val="21"/>
                      <w:szCs w:val="21"/>
                      <w:highlight w:val="none"/>
                      <w:lang w:val="en-US" w:eastAsia="zh-CN" w:bidi="ar-SA"/>
                    </w:rPr>
                    <w:t>0.330</w:t>
                  </w:r>
                </w:p>
              </w:tc>
              <w:tc>
                <w:tcPr>
                  <w:tcW w:w="1207" w:type="dxa"/>
                  <w:tcBorders>
                    <w:top w:val="single" w:color="auto" w:sz="12" w:space="0"/>
                    <w:bottom w:val="single" w:color="auto" w:sz="12" w:space="0"/>
                  </w:tcBorders>
                  <w:vAlign w:val="center"/>
                </w:tcPr>
                <w:p w14:paraId="48506A95">
                  <w:pPr>
                    <w:pStyle w:val="45"/>
                    <w:keepNext w:val="0"/>
                    <w:keepLines w:val="0"/>
                    <w:pageBreakBefore w:val="0"/>
                    <w:widowControl w:val="0"/>
                    <w:kinsoku/>
                    <w:wordWrap/>
                    <w:overflowPunct/>
                    <w:topLinePunct w:val="0"/>
                    <w:bidi w:val="0"/>
                    <w:adjustRightInd/>
                    <w:snapToGrid/>
                    <w:spacing w:before="0" w:line="240" w:lineRule="auto"/>
                    <w:ind w:left="0"/>
                    <w:jc w:val="center"/>
                    <w:textAlignment w:val="auto"/>
                    <w:rPr>
                      <w:rFonts w:hint="default" w:ascii="Times New Roman" w:hAnsi="Times New Roman" w:cs="Times New Roman" w:eastAsiaTheme="minorEastAsia"/>
                      <w:spacing w:val="0"/>
                      <w:sz w:val="18"/>
                      <w:szCs w:val="18"/>
                    </w:rPr>
                  </w:pPr>
                  <w:r>
                    <w:rPr>
                      <w:rFonts w:hint="default" w:ascii="Times New Roman" w:hAnsi="Times New Roman" w:eastAsia="宋体" w:cs="Times New Roman"/>
                      <w:b w:val="0"/>
                      <w:bCs w:val="0"/>
                      <w:color w:val="auto"/>
                      <w:spacing w:val="0"/>
                      <w:sz w:val="18"/>
                      <w:szCs w:val="18"/>
                      <w:lang w:val="en-US" w:eastAsia="zh-CN"/>
                    </w:rPr>
                    <w:t>1.0</w:t>
                  </w:r>
                </w:p>
              </w:tc>
              <w:tc>
                <w:tcPr>
                  <w:tcW w:w="1330" w:type="dxa"/>
                  <w:tcBorders>
                    <w:top w:val="single" w:color="auto" w:sz="12" w:space="0"/>
                    <w:bottom w:val="single" w:color="auto" w:sz="12" w:space="0"/>
                  </w:tcBorders>
                  <w:vAlign w:val="center"/>
                </w:tcPr>
                <w:p w14:paraId="3149E4BB">
                  <w:pPr>
                    <w:pStyle w:val="45"/>
                    <w:keepNext w:val="0"/>
                    <w:keepLines w:val="0"/>
                    <w:pageBreakBefore w:val="0"/>
                    <w:widowControl w:val="0"/>
                    <w:kinsoku/>
                    <w:wordWrap/>
                    <w:overflowPunct/>
                    <w:topLinePunct w:val="0"/>
                    <w:bidi w:val="0"/>
                    <w:adjustRightInd/>
                    <w:snapToGrid/>
                    <w:spacing w:before="0" w:line="240" w:lineRule="auto"/>
                    <w:ind w:left="0"/>
                    <w:jc w:val="center"/>
                    <w:textAlignment w:val="auto"/>
                    <w:rPr>
                      <w:rFonts w:hint="default" w:ascii="Times New Roman" w:hAnsi="Times New Roman" w:cs="Times New Roman" w:eastAsiaTheme="minorEastAsia"/>
                      <w:spacing w:val="0"/>
                      <w:sz w:val="18"/>
                      <w:szCs w:val="18"/>
                    </w:rPr>
                  </w:pPr>
                  <w:r>
                    <w:rPr>
                      <w:rFonts w:hint="default" w:ascii="Times New Roman" w:hAnsi="Times New Roman" w:eastAsia="宋体" w:cs="Times New Roman"/>
                      <w:b w:val="0"/>
                      <w:bCs w:val="0"/>
                      <w:color w:val="auto"/>
                      <w:spacing w:val="0"/>
                      <w:sz w:val="18"/>
                      <w:szCs w:val="18"/>
                      <w:lang w:val="en-US" w:eastAsia="zh-CN"/>
                    </w:rPr>
                    <w:t>达标</w:t>
                  </w:r>
                </w:p>
              </w:tc>
            </w:tr>
          </w:tbl>
          <w:p w14:paraId="12EA4D87">
            <w:pPr>
              <w:pStyle w:val="2"/>
              <w:keepNext/>
              <w:keepLines/>
              <w:pageBreakBefore w:val="0"/>
              <w:widowControl w:val="0"/>
              <w:numPr>
                <w:numId w:val="0"/>
              </w:numPr>
              <w:kinsoku/>
              <w:wordWrap/>
              <w:overflowPunct/>
              <w:topLinePunct w:val="0"/>
              <w:autoSpaceDE/>
              <w:autoSpaceDN/>
              <w:bidi w:val="0"/>
              <w:adjustRightInd/>
              <w:snapToGrid/>
              <w:spacing w:before="0" w:after="0" w:line="360" w:lineRule="auto"/>
              <w:ind w:leftChars="0" w:firstLine="464" w:firstLineChars="200"/>
              <w:textAlignment w:val="auto"/>
              <w:rPr>
                <w:rFonts w:hint="default" w:ascii="Times New Roman" w:hAnsi="Times New Roman" w:eastAsia="宋体" w:cs="Times New Roman"/>
                <w:b w:val="0"/>
                <w:bCs/>
                <w:snapToGrid w:val="0"/>
                <w:color w:val="auto"/>
                <w:spacing w:val="-4"/>
                <w:sz w:val="24"/>
                <w:szCs w:val="24"/>
                <w:lang w:val="en-US" w:eastAsia="zh-CN" w:bidi="ar-SA"/>
              </w:rPr>
            </w:pPr>
            <w:r>
              <w:rPr>
                <w:rFonts w:hint="default" w:ascii="Times New Roman" w:hAnsi="Times New Roman" w:eastAsia="宋体" w:cs="Times New Roman"/>
                <w:b w:val="0"/>
                <w:bCs/>
                <w:snapToGrid w:val="0"/>
                <w:color w:val="auto"/>
                <w:spacing w:val="-4"/>
                <w:sz w:val="24"/>
                <w:szCs w:val="24"/>
                <w:lang w:val="en-US" w:eastAsia="zh-CN" w:bidi="ar-SA"/>
              </w:rPr>
              <w:t>监测结果表明：验收监测期间，</w:t>
            </w:r>
            <w:r>
              <w:rPr>
                <w:rFonts w:hint="eastAsia" w:ascii="Times New Roman" w:hAnsi="Times New Roman" w:eastAsia="宋体" w:cs="Times New Roman"/>
                <w:b w:val="0"/>
                <w:bCs/>
                <w:snapToGrid w:val="0"/>
                <w:color w:val="auto"/>
                <w:spacing w:val="-4"/>
                <w:sz w:val="24"/>
                <w:szCs w:val="24"/>
                <w:lang w:val="en-US" w:eastAsia="zh-CN" w:bidi="ar-SA"/>
              </w:rPr>
              <w:t>厂界无组织排放颗粒物达到</w:t>
            </w:r>
            <w:r>
              <w:rPr>
                <w:rFonts w:hint="default" w:ascii="Times New Roman" w:hAnsi="Times New Roman" w:eastAsia="宋体" w:cs="Times New Roman"/>
                <w:b w:val="0"/>
                <w:bCs/>
                <w:snapToGrid w:val="0"/>
                <w:color w:val="auto"/>
                <w:spacing w:val="-4"/>
                <w:sz w:val="24"/>
                <w:szCs w:val="24"/>
                <w:lang w:val="en-US" w:eastAsia="zh-CN" w:bidi="ar-SA"/>
              </w:rPr>
              <w:t>《大气污染物综合排放标准》（GB16297-1996）表2中无组织排放监控浓度限值标准。</w:t>
            </w:r>
          </w:p>
          <w:p w14:paraId="37F786DC">
            <w:pPr>
              <w:pageBreakBefore w:val="0"/>
              <w:widowControl w:val="0"/>
              <w:kinsoku/>
              <w:wordWrap/>
              <w:overflowPunct/>
              <w:topLinePunct w:val="0"/>
              <w:bidi w:val="0"/>
              <w:spacing w:line="360" w:lineRule="auto"/>
              <w:ind w:firstLine="464" w:firstLineChars="200"/>
              <w:textAlignment w:val="auto"/>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w:t>
            </w:r>
            <w:r>
              <w:rPr>
                <w:rFonts w:hint="eastAsia" w:cs="Times New Roman"/>
                <w:color w:val="auto"/>
                <w:spacing w:val="-4"/>
                <w:sz w:val="24"/>
                <w:szCs w:val="24"/>
                <w:lang w:val="en-US" w:eastAsia="zh-CN"/>
              </w:rPr>
              <w:t>2</w:t>
            </w:r>
            <w:r>
              <w:rPr>
                <w:rFonts w:hint="default" w:ascii="Times New Roman" w:hAnsi="Times New Roman" w:eastAsia="宋体" w:cs="Times New Roman"/>
                <w:color w:val="auto"/>
                <w:spacing w:val="-4"/>
                <w:sz w:val="24"/>
                <w:szCs w:val="24"/>
                <w:lang w:val="en-US" w:eastAsia="zh-CN"/>
              </w:rPr>
              <w:t>）噪声</w:t>
            </w:r>
          </w:p>
          <w:p w14:paraId="45A5ABD9">
            <w:pPr>
              <w:pStyle w:val="23"/>
              <w:keepNext w:val="0"/>
              <w:keepLines w:val="0"/>
              <w:pageBreakBefore w:val="0"/>
              <w:widowControl w:val="0"/>
              <w:numPr>
                <w:ilvl w:val="0"/>
                <w:numId w:val="0"/>
              </w:numPr>
              <w:kinsoku/>
              <w:wordWrap/>
              <w:overflowPunct/>
              <w:topLinePunct w:val="0"/>
              <w:autoSpaceDE w:val="0"/>
              <w:autoSpaceDN w:val="0"/>
              <w:bidi w:val="0"/>
              <w:adjustRightInd/>
              <w:snapToGrid/>
              <w:spacing w:before="10" w:line="240" w:lineRule="atLeast"/>
              <w:jc w:val="center"/>
              <w:textAlignment w:val="auto"/>
              <w:rPr>
                <w:rFonts w:hint="default" w:ascii="Times New Roman" w:hAnsi="Times New Roman" w:eastAsia="宋体" w:cs="Times New Roman"/>
                <w:b/>
                <w:bCs/>
                <w:color w:val="auto"/>
                <w:kern w:val="2"/>
                <w:sz w:val="24"/>
                <w:szCs w:val="22"/>
                <w:lang w:val="en-US" w:eastAsia="zh-CN" w:bidi="ar-SA"/>
              </w:rPr>
            </w:pPr>
            <w:r>
              <w:rPr>
                <w:rFonts w:hint="default" w:ascii="Times New Roman" w:hAnsi="Times New Roman" w:eastAsia="宋体" w:cs="Times New Roman"/>
                <w:b/>
                <w:bCs/>
                <w:color w:val="auto"/>
                <w:kern w:val="2"/>
                <w:sz w:val="24"/>
                <w:szCs w:val="22"/>
                <w:lang w:val="en-US" w:eastAsia="zh-CN" w:bidi="ar-SA"/>
              </w:rPr>
              <w:t>表8-</w:t>
            </w:r>
            <w:r>
              <w:rPr>
                <w:rFonts w:hint="eastAsia" w:cs="Times New Roman"/>
                <w:b/>
                <w:bCs/>
                <w:color w:val="auto"/>
                <w:kern w:val="2"/>
                <w:sz w:val="24"/>
                <w:szCs w:val="22"/>
                <w:lang w:val="en-US" w:eastAsia="zh-CN" w:bidi="ar-SA"/>
              </w:rPr>
              <w:t>4</w:t>
            </w:r>
            <w:r>
              <w:rPr>
                <w:rFonts w:hint="default" w:ascii="Times New Roman" w:hAnsi="Times New Roman" w:eastAsia="宋体" w:cs="Times New Roman"/>
                <w:b/>
                <w:bCs/>
                <w:color w:val="auto"/>
                <w:kern w:val="2"/>
                <w:sz w:val="24"/>
                <w:szCs w:val="22"/>
                <w:lang w:val="en-US" w:eastAsia="zh-CN" w:bidi="ar-SA"/>
              </w:rPr>
              <w:t xml:space="preserve">  噪声检测结果一览表</w:t>
            </w:r>
          </w:p>
          <w:tbl>
            <w:tblPr>
              <w:tblStyle w:val="39"/>
              <w:tblW w:w="9289"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73"/>
              <w:gridCol w:w="1258"/>
              <w:gridCol w:w="2547"/>
              <w:gridCol w:w="4211"/>
            </w:tblGrid>
            <w:tr w14:paraId="58D19B3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3" w:type="dxa"/>
                  <w:vMerge w:val="restart"/>
                  <w:tcBorders>
                    <w:top w:val="single" w:color="000000" w:sz="12" w:space="0"/>
                    <w:bottom w:val="single" w:color="000000" w:sz="4" w:space="0"/>
                  </w:tcBorders>
                  <w:vAlign w:val="center"/>
                </w:tcPr>
                <w:p w14:paraId="1867EB6E">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r>
                    <w:rPr>
                      <w:rFonts w:ascii="Times New Roman" w:hAnsi="Times New Roman" w:cs="Times New Roman" w:eastAsiaTheme="minorEastAsia"/>
                      <w:spacing w:val="-2"/>
                      <w:kern w:val="2"/>
                      <w:sz w:val="18"/>
                      <w:szCs w:val="18"/>
                      <w:lang w:val="en-US" w:eastAsia="en-US" w:bidi="ar-SA"/>
                    </w:rPr>
                    <w:t>监测时间</w:t>
                  </w:r>
                </w:p>
              </w:tc>
              <w:tc>
                <w:tcPr>
                  <w:tcW w:w="1258" w:type="dxa"/>
                  <w:vMerge w:val="restart"/>
                  <w:tcBorders>
                    <w:top w:val="single" w:color="000000" w:sz="12" w:space="0"/>
                    <w:bottom w:val="single" w:color="000000" w:sz="4" w:space="0"/>
                  </w:tcBorders>
                  <w:vAlign w:val="center"/>
                </w:tcPr>
                <w:p w14:paraId="6242A2A3">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r>
                    <w:rPr>
                      <w:rFonts w:ascii="Times New Roman" w:hAnsi="Times New Roman" w:cs="Times New Roman" w:eastAsiaTheme="minorEastAsia"/>
                      <w:spacing w:val="-2"/>
                      <w:kern w:val="2"/>
                      <w:sz w:val="18"/>
                      <w:szCs w:val="18"/>
                      <w:lang w:val="en-US" w:eastAsia="en-US" w:bidi="ar-SA"/>
                    </w:rPr>
                    <w:t>测点编号</w:t>
                  </w:r>
                </w:p>
              </w:tc>
              <w:tc>
                <w:tcPr>
                  <w:tcW w:w="2547" w:type="dxa"/>
                  <w:vMerge w:val="restart"/>
                  <w:tcBorders>
                    <w:top w:val="single" w:color="000000" w:sz="12" w:space="0"/>
                    <w:bottom w:val="single" w:color="000000" w:sz="4" w:space="0"/>
                  </w:tcBorders>
                  <w:vAlign w:val="center"/>
                </w:tcPr>
                <w:p w14:paraId="753AA757">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r>
                    <w:rPr>
                      <w:rFonts w:ascii="Times New Roman" w:hAnsi="Times New Roman" w:cs="Times New Roman" w:eastAsiaTheme="minorEastAsia"/>
                      <w:spacing w:val="-2"/>
                      <w:kern w:val="2"/>
                      <w:sz w:val="18"/>
                      <w:szCs w:val="18"/>
                      <w:lang w:val="en-US" w:eastAsia="en-US" w:bidi="ar-SA"/>
                    </w:rPr>
                    <w:t>测点位置</w:t>
                  </w:r>
                </w:p>
              </w:tc>
              <w:tc>
                <w:tcPr>
                  <w:tcW w:w="4211" w:type="dxa"/>
                  <w:tcBorders>
                    <w:top w:val="single" w:color="000000" w:sz="12" w:space="0"/>
                    <w:bottom w:val="single" w:color="000000" w:sz="4" w:space="0"/>
                  </w:tcBorders>
                  <w:vAlign w:val="center"/>
                </w:tcPr>
                <w:p w14:paraId="421F8CFD">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r>
                    <w:rPr>
                      <w:rFonts w:ascii="Times New Roman" w:hAnsi="Times New Roman" w:cs="Times New Roman" w:eastAsiaTheme="minorEastAsia"/>
                      <w:spacing w:val="-2"/>
                      <w:kern w:val="2"/>
                      <w:sz w:val="18"/>
                      <w:szCs w:val="18"/>
                      <w:lang w:val="en-US" w:eastAsia="en-US" w:bidi="ar-SA"/>
                    </w:rPr>
                    <w:t>测量值/dB(A)</w:t>
                  </w:r>
                </w:p>
              </w:tc>
            </w:tr>
            <w:tr w14:paraId="5AE943F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3" w:type="dxa"/>
                  <w:vMerge w:val="continue"/>
                  <w:tcBorders>
                    <w:top w:val="single" w:color="000000" w:sz="4" w:space="0"/>
                    <w:bottom w:val="single" w:color="000000" w:sz="12" w:space="0"/>
                  </w:tcBorders>
                  <w:vAlign w:val="center"/>
                </w:tcPr>
                <w:p w14:paraId="346745E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p>
              </w:tc>
              <w:tc>
                <w:tcPr>
                  <w:tcW w:w="1258" w:type="dxa"/>
                  <w:vMerge w:val="continue"/>
                  <w:tcBorders>
                    <w:top w:val="single" w:color="000000" w:sz="4" w:space="0"/>
                    <w:bottom w:val="single" w:color="000000" w:sz="12" w:space="0"/>
                  </w:tcBorders>
                  <w:vAlign w:val="center"/>
                </w:tcPr>
                <w:p w14:paraId="143A38B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p>
              </w:tc>
              <w:tc>
                <w:tcPr>
                  <w:tcW w:w="2547" w:type="dxa"/>
                  <w:vMerge w:val="continue"/>
                  <w:tcBorders>
                    <w:top w:val="single" w:color="000000" w:sz="4" w:space="0"/>
                    <w:bottom w:val="single" w:color="000000" w:sz="12" w:space="0"/>
                  </w:tcBorders>
                  <w:vAlign w:val="center"/>
                </w:tcPr>
                <w:p w14:paraId="5D9FDA1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p>
              </w:tc>
              <w:tc>
                <w:tcPr>
                  <w:tcW w:w="4211" w:type="dxa"/>
                  <w:tcBorders>
                    <w:top w:val="single" w:color="000000" w:sz="4" w:space="0"/>
                    <w:bottom w:val="single" w:color="000000" w:sz="12" w:space="0"/>
                  </w:tcBorders>
                  <w:vAlign w:val="center"/>
                </w:tcPr>
                <w:p w14:paraId="7939455E">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r>
                    <w:rPr>
                      <w:rFonts w:ascii="Times New Roman" w:hAnsi="Times New Roman" w:cs="Times New Roman" w:eastAsiaTheme="minorEastAsia"/>
                      <w:spacing w:val="-2"/>
                      <w:kern w:val="2"/>
                      <w:sz w:val="18"/>
                      <w:szCs w:val="18"/>
                      <w:lang w:val="en-US" w:eastAsia="en-US" w:bidi="ar-SA"/>
                    </w:rPr>
                    <w:t>昼间(6:00--22:00)</w:t>
                  </w:r>
                </w:p>
              </w:tc>
            </w:tr>
            <w:tr w14:paraId="005FACC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3" w:type="dxa"/>
                  <w:vMerge w:val="restart"/>
                  <w:tcBorders>
                    <w:top w:val="single" w:color="000000" w:sz="12" w:space="0"/>
                    <w:bottom w:val="single" w:color="000000" w:sz="4" w:space="0"/>
                  </w:tcBorders>
                  <w:vAlign w:val="center"/>
                </w:tcPr>
                <w:p w14:paraId="1C1B3CCC">
                  <w:pPr>
                    <w:pStyle w:val="45"/>
                    <w:keepNext w:val="0"/>
                    <w:keepLines w:val="0"/>
                    <w:pageBreakBefore w:val="0"/>
                    <w:widowControl w:val="0"/>
                    <w:kinsoku/>
                    <w:wordWrap/>
                    <w:overflowPunct/>
                    <w:topLinePunct w:val="0"/>
                    <w:autoSpaceDE/>
                    <w:autoSpaceDN/>
                    <w:bidi w:val="0"/>
                    <w:adjustRightInd/>
                    <w:snapToGrid/>
                    <w:spacing w:line="240" w:lineRule="auto"/>
                    <w:ind w:left="0" w:right="208" w:firstLine="49"/>
                    <w:jc w:val="center"/>
                    <w:textAlignment w:val="auto"/>
                    <w:rPr>
                      <w:rFonts w:ascii="Times New Roman" w:hAnsi="Times New Roman" w:cs="Times New Roman" w:eastAsiaTheme="minorEastAsia"/>
                      <w:spacing w:val="-2"/>
                      <w:kern w:val="2"/>
                      <w:sz w:val="18"/>
                      <w:szCs w:val="18"/>
                      <w:lang w:val="en-US" w:eastAsia="en-US" w:bidi="ar-SA"/>
                    </w:rPr>
                  </w:pPr>
                  <w:r>
                    <w:rPr>
                      <w:rFonts w:ascii="Times New Roman" w:hAnsi="Times New Roman" w:cs="Times New Roman" w:eastAsiaTheme="minorEastAsia"/>
                      <w:spacing w:val="-2"/>
                      <w:kern w:val="2"/>
                      <w:sz w:val="18"/>
                      <w:szCs w:val="18"/>
                      <w:lang w:val="en-US" w:eastAsia="en-US" w:bidi="ar-SA"/>
                    </w:rPr>
                    <w:t>202</w:t>
                  </w:r>
                  <w:r>
                    <w:rPr>
                      <w:rFonts w:hint="eastAsia" w:ascii="Times New Roman" w:hAnsi="Times New Roman" w:cs="Times New Roman" w:eastAsiaTheme="minorEastAsia"/>
                      <w:spacing w:val="-2"/>
                      <w:kern w:val="2"/>
                      <w:sz w:val="18"/>
                      <w:szCs w:val="18"/>
                      <w:lang w:val="en-US" w:eastAsia="zh-CN" w:bidi="ar-SA"/>
                    </w:rPr>
                    <w:t>5</w:t>
                  </w:r>
                  <w:r>
                    <w:rPr>
                      <w:rFonts w:ascii="Times New Roman" w:hAnsi="Times New Roman" w:cs="Times New Roman" w:eastAsiaTheme="minorEastAsia"/>
                      <w:spacing w:val="-2"/>
                      <w:kern w:val="2"/>
                      <w:sz w:val="18"/>
                      <w:szCs w:val="18"/>
                      <w:lang w:val="en-US" w:eastAsia="en-US" w:bidi="ar-SA"/>
                    </w:rPr>
                    <w:t>年</w:t>
                  </w:r>
                  <w:r>
                    <w:rPr>
                      <w:rFonts w:hint="eastAsia" w:ascii="Times New Roman" w:hAnsi="Times New Roman" w:cs="Times New Roman" w:eastAsiaTheme="minorEastAsia"/>
                      <w:spacing w:val="-2"/>
                      <w:kern w:val="2"/>
                      <w:sz w:val="18"/>
                      <w:szCs w:val="18"/>
                      <w:lang w:val="en-US" w:eastAsia="zh-CN" w:bidi="ar-SA"/>
                    </w:rPr>
                    <w:t>11</w:t>
                  </w:r>
                  <w:r>
                    <w:rPr>
                      <w:rFonts w:ascii="Times New Roman" w:hAnsi="Times New Roman" w:cs="Times New Roman" w:eastAsiaTheme="minorEastAsia"/>
                      <w:spacing w:val="-2"/>
                      <w:kern w:val="2"/>
                      <w:sz w:val="18"/>
                      <w:szCs w:val="18"/>
                      <w:lang w:val="en-US" w:eastAsia="en-US" w:bidi="ar-SA"/>
                    </w:rPr>
                    <w:t>月</w:t>
                  </w:r>
                  <w:r>
                    <w:rPr>
                      <w:rFonts w:hint="eastAsia" w:ascii="Times New Roman" w:hAnsi="Times New Roman" w:cs="Times New Roman" w:eastAsiaTheme="minorEastAsia"/>
                      <w:spacing w:val="-2"/>
                      <w:kern w:val="2"/>
                      <w:sz w:val="18"/>
                      <w:szCs w:val="18"/>
                      <w:lang w:val="en-US" w:eastAsia="zh-CN" w:bidi="ar-SA"/>
                    </w:rPr>
                    <w:t>14</w:t>
                  </w:r>
                  <w:r>
                    <w:rPr>
                      <w:rFonts w:ascii="Times New Roman" w:hAnsi="Times New Roman" w:cs="Times New Roman" w:eastAsiaTheme="minorEastAsia"/>
                      <w:spacing w:val="-2"/>
                      <w:kern w:val="2"/>
                      <w:sz w:val="18"/>
                      <w:szCs w:val="18"/>
                      <w:lang w:val="en-US" w:eastAsia="en-US" w:bidi="ar-SA"/>
                    </w:rPr>
                    <w:t>日</w:t>
                  </w:r>
                </w:p>
              </w:tc>
              <w:tc>
                <w:tcPr>
                  <w:tcW w:w="1258" w:type="dxa"/>
                  <w:tcBorders>
                    <w:top w:val="single" w:color="000000" w:sz="12" w:space="0"/>
                    <w:bottom w:val="single" w:color="000000" w:sz="4" w:space="0"/>
                  </w:tcBorders>
                  <w:vAlign w:val="center"/>
                </w:tcPr>
                <w:p w14:paraId="1BBBD421">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r>
                    <w:rPr>
                      <w:rFonts w:ascii="Times New Roman" w:hAnsi="Times New Roman" w:cs="Times New Roman" w:eastAsiaTheme="minorEastAsia"/>
                      <w:spacing w:val="-2"/>
                      <w:kern w:val="2"/>
                      <w:sz w:val="18"/>
                      <w:szCs w:val="18"/>
                      <w:lang w:val="en-US" w:eastAsia="en-US" w:bidi="ar-SA"/>
                    </w:rPr>
                    <w:t>N1</w:t>
                  </w:r>
                </w:p>
              </w:tc>
              <w:tc>
                <w:tcPr>
                  <w:tcW w:w="2547" w:type="dxa"/>
                  <w:tcBorders>
                    <w:top w:val="single" w:color="000000" w:sz="12" w:space="0"/>
                    <w:bottom w:val="single" w:color="000000" w:sz="4" w:space="0"/>
                  </w:tcBorders>
                  <w:vAlign w:val="center"/>
                </w:tcPr>
                <w:p w14:paraId="0C5A2B16">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r>
                    <w:rPr>
                      <w:rFonts w:hint="default" w:ascii="Times New Roman" w:hAnsi="Times New Roman" w:cs="Times New Roman" w:eastAsiaTheme="minorEastAsia"/>
                      <w:spacing w:val="-2"/>
                      <w:kern w:val="2"/>
                      <w:sz w:val="18"/>
                      <w:szCs w:val="18"/>
                      <w:lang w:val="en-US" w:eastAsia="zh-CN" w:bidi="ar-SA"/>
                    </w:rPr>
                    <w:t>厂界东侧外1m处</w:t>
                  </w:r>
                </w:p>
              </w:tc>
              <w:tc>
                <w:tcPr>
                  <w:tcW w:w="4211" w:type="dxa"/>
                  <w:tcBorders>
                    <w:top w:val="single" w:color="000000" w:sz="12" w:space="0"/>
                    <w:bottom w:val="single" w:color="000000" w:sz="4" w:space="0"/>
                  </w:tcBorders>
                  <w:vAlign w:val="center"/>
                </w:tcPr>
                <w:p w14:paraId="46097E41">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r>
                    <w:rPr>
                      <w:rFonts w:hint="eastAsia" w:ascii="Times New Roman" w:hAnsi="Times New Roman" w:cs="Times New Roman" w:eastAsiaTheme="minorEastAsia"/>
                      <w:spacing w:val="-2"/>
                      <w:kern w:val="2"/>
                      <w:sz w:val="18"/>
                      <w:szCs w:val="18"/>
                      <w:lang w:val="en-US" w:eastAsia="zh-CN" w:bidi="ar-SA"/>
                    </w:rPr>
                    <w:t>59</w:t>
                  </w:r>
                </w:p>
              </w:tc>
            </w:tr>
            <w:tr w14:paraId="2ADA50A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3" w:type="dxa"/>
                  <w:vMerge w:val="continue"/>
                  <w:tcBorders>
                    <w:top w:val="single" w:color="000000" w:sz="4" w:space="0"/>
                    <w:bottom w:val="single" w:color="000000" w:sz="4" w:space="0"/>
                  </w:tcBorders>
                  <w:vAlign w:val="center"/>
                </w:tcPr>
                <w:p w14:paraId="3E1E8D2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p>
              </w:tc>
              <w:tc>
                <w:tcPr>
                  <w:tcW w:w="1258" w:type="dxa"/>
                  <w:tcBorders>
                    <w:top w:val="single" w:color="000000" w:sz="4" w:space="0"/>
                    <w:bottom w:val="single" w:color="000000" w:sz="4" w:space="0"/>
                  </w:tcBorders>
                  <w:vAlign w:val="center"/>
                </w:tcPr>
                <w:p w14:paraId="10381C6B">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r>
                    <w:rPr>
                      <w:rFonts w:ascii="Times New Roman" w:hAnsi="Times New Roman" w:cs="Times New Roman" w:eastAsiaTheme="minorEastAsia"/>
                      <w:spacing w:val="-2"/>
                      <w:kern w:val="2"/>
                      <w:sz w:val="18"/>
                      <w:szCs w:val="18"/>
                      <w:lang w:val="en-US" w:eastAsia="en-US" w:bidi="ar-SA"/>
                    </w:rPr>
                    <w:t>N2</w:t>
                  </w:r>
                </w:p>
              </w:tc>
              <w:tc>
                <w:tcPr>
                  <w:tcW w:w="2547" w:type="dxa"/>
                  <w:tcBorders>
                    <w:top w:val="single" w:color="000000" w:sz="4" w:space="0"/>
                    <w:bottom w:val="single" w:color="000000" w:sz="4" w:space="0"/>
                  </w:tcBorders>
                  <w:vAlign w:val="center"/>
                </w:tcPr>
                <w:p w14:paraId="538EF87A">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r>
                    <w:rPr>
                      <w:rFonts w:hint="default" w:ascii="Times New Roman" w:hAnsi="Times New Roman" w:cs="Times New Roman" w:eastAsiaTheme="minorEastAsia"/>
                      <w:spacing w:val="-2"/>
                      <w:kern w:val="2"/>
                      <w:sz w:val="18"/>
                      <w:szCs w:val="18"/>
                      <w:lang w:val="en-US" w:eastAsia="zh-CN" w:bidi="ar-SA"/>
                    </w:rPr>
                    <w:t>厂界</w:t>
                  </w:r>
                  <w:r>
                    <w:rPr>
                      <w:rFonts w:hint="eastAsia" w:ascii="Times New Roman" w:hAnsi="Times New Roman" w:cs="Times New Roman" w:eastAsiaTheme="minorEastAsia"/>
                      <w:spacing w:val="-2"/>
                      <w:kern w:val="2"/>
                      <w:sz w:val="18"/>
                      <w:szCs w:val="18"/>
                      <w:lang w:val="en-US" w:eastAsia="zh-CN" w:bidi="ar-SA"/>
                    </w:rPr>
                    <w:t>西南</w:t>
                  </w:r>
                  <w:r>
                    <w:rPr>
                      <w:rFonts w:hint="default" w:ascii="Times New Roman" w:hAnsi="Times New Roman" w:cs="Times New Roman" w:eastAsiaTheme="minorEastAsia"/>
                      <w:spacing w:val="-2"/>
                      <w:kern w:val="2"/>
                      <w:sz w:val="18"/>
                      <w:szCs w:val="18"/>
                      <w:lang w:val="en-US" w:eastAsia="zh-CN" w:bidi="ar-SA"/>
                    </w:rPr>
                    <w:t>侧外1m处</w:t>
                  </w:r>
                </w:p>
              </w:tc>
              <w:tc>
                <w:tcPr>
                  <w:tcW w:w="4211" w:type="dxa"/>
                  <w:tcBorders>
                    <w:top w:val="single" w:color="000000" w:sz="4" w:space="0"/>
                    <w:bottom w:val="single" w:color="000000" w:sz="4" w:space="0"/>
                  </w:tcBorders>
                  <w:vAlign w:val="center"/>
                </w:tcPr>
                <w:p w14:paraId="26094D1B">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spacing w:val="-2"/>
                      <w:kern w:val="2"/>
                      <w:sz w:val="18"/>
                      <w:szCs w:val="18"/>
                      <w:lang w:val="en-US" w:eastAsia="zh-CN" w:bidi="ar-SA"/>
                    </w:rPr>
                  </w:pPr>
                  <w:r>
                    <w:rPr>
                      <w:rFonts w:hint="eastAsia" w:ascii="Times New Roman" w:hAnsi="Times New Roman" w:cs="Times New Roman" w:eastAsiaTheme="minorEastAsia"/>
                      <w:spacing w:val="-2"/>
                      <w:kern w:val="2"/>
                      <w:sz w:val="18"/>
                      <w:szCs w:val="18"/>
                      <w:lang w:val="en-US" w:eastAsia="zh-CN" w:bidi="ar-SA"/>
                    </w:rPr>
                    <w:t>58</w:t>
                  </w:r>
                </w:p>
              </w:tc>
            </w:tr>
            <w:tr w14:paraId="39DF5BE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3" w:type="dxa"/>
                  <w:vMerge w:val="continue"/>
                  <w:tcBorders>
                    <w:top w:val="single" w:color="000000" w:sz="4" w:space="0"/>
                    <w:bottom w:val="single" w:color="000000" w:sz="4" w:space="0"/>
                  </w:tcBorders>
                  <w:vAlign w:val="center"/>
                </w:tcPr>
                <w:p w14:paraId="25DA65A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p>
              </w:tc>
              <w:tc>
                <w:tcPr>
                  <w:tcW w:w="1258" w:type="dxa"/>
                  <w:tcBorders>
                    <w:top w:val="single" w:color="000000" w:sz="4" w:space="0"/>
                    <w:bottom w:val="single" w:color="000000" w:sz="4" w:space="0"/>
                  </w:tcBorders>
                  <w:vAlign w:val="center"/>
                </w:tcPr>
                <w:p w14:paraId="1DABA1D4">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r>
                    <w:rPr>
                      <w:rFonts w:ascii="Times New Roman" w:hAnsi="Times New Roman" w:cs="Times New Roman" w:eastAsiaTheme="minorEastAsia"/>
                      <w:spacing w:val="-2"/>
                      <w:kern w:val="2"/>
                      <w:sz w:val="18"/>
                      <w:szCs w:val="18"/>
                      <w:lang w:val="en-US" w:eastAsia="en-US" w:bidi="ar-SA"/>
                    </w:rPr>
                    <w:t>N3</w:t>
                  </w:r>
                </w:p>
              </w:tc>
              <w:tc>
                <w:tcPr>
                  <w:tcW w:w="2547" w:type="dxa"/>
                  <w:tcBorders>
                    <w:top w:val="single" w:color="000000" w:sz="4" w:space="0"/>
                    <w:bottom w:val="single" w:color="000000" w:sz="4" w:space="0"/>
                  </w:tcBorders>
                  <w:vAlign w:val="center"/>
                </w:tcPr>
                <w:p w14:paraId="55D620F4">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r>
                    <w:rPr>
                      <w:rFonts w:hint="default" w:ascii="Times New Roman" w:hAnsi="Times New Roman" w:cs="Times New Roman" w:eastAsiaTheme="minorEastAsia"/>
                      <w:spacing w:val="-2"/>
                      <w:kern w:val="2"/>
                      <w:sz w:val="18"/>
                      <w:szCs w:val="18"/>
                      <w:lang w:val="en-US" w:eastAsia="zh-CN" w:bidi="ar-SA"/>
                    </w:rPr>
                    <w:t>厂界西</w:t>
                  </w:r>
                  <w:r>
                    <w:rPr>
                      <w:rFonts w:hint="eastAsia" w:ascii="Times New Roman" w:hAnsi="Times New Roman" w:cs="Times New Roman" w:eastAsiaTheme="minorEastAsia"/>
                      <w:spacing w:val="-2"/>
                      <w:kern w:val="2"/>
                      <w:sz w:val="18"/>
                      <w:szCs w:val="18"/>
                      <w:lang w:val="en-US" w:eastAsia="zh-CN" w:bidi="ar-SA"/>
                    </w:rPr>
                    <w:t>北</w:t>
                  </w:r>
                  <w:r>
                    <w:rPr>
                      <w:rFonts w:hint="default" w:ascii="Times New Roman" w:hAnsi="Times New Roman" w:cs="Times New Roman" w:eastAsiaTheme="minorEastAsia"/>
                      <w:spacing w:val="-2"/>
                      <w:kern w:val="2"/>
                      <w:sz w:val="18"/>
                      <w:szCs w:val="18"/>
                      <w:lang w:val="en-US" w:eastAsia="zh-CN" w:bidi="ar-SA"/>
                    </w:rPr>
                    <w:t>侧外1m处</w:t>
                  </w:r>
                </w:p>
              </w:tc>
              <w:tc>
                <w:tcPr>
                  <w:tcW w:w="4211" w:type="dxa"/>
                  <w:tcBorders>
                    <w:top w:val="single" w:color="000000" w:sz="4" w:space="0"/>
                    <w:bottom w:val="single" w:color="000000" w:sz="4" w:space="0"/>
                  </w:tcBorders>
                  <w:vAlign w:val="center"/>
                </w:tcPr>
                <w:p w14:paraId="2281C3FB">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spacing w:val="-2"/>
                      <w:kern w:val="2"/>
                      <w:sz w:val="18"/>
                      <w:szCs w:val="18"/>
                      <w:lang w:val="en-US" w:eastAsia="zh-CN" w:bidi="ar-SA"/>
                    </w:rPr>
                  </w:pPr>
                  <w:r>
                    <w:rPr>
                      <w:rFonts w:hint="eastAsia" w:ascii="Times New Roman" w:hAnsi="Times New Roman" w:cs="Times New Roman" w:eastAsiaTheme="minorEastAsia"/>
                      <w:spacing w:val="-2"/>
                      <w:kern w:val="2"/>
                      <w:sz w:val="18"/>
                      <w:szCs w:val="18"/>
                      <w:lang w:val="en-US" w:eastAsia="zh-CN" w:bidi="ar-SA"/>
                    </w:rPr>
                    <w:t>60</w:t>
                  </w:r>
                </w:p>
              </w:tc>
            </w:tr>
            <w:tr w14:paraId="02B71D2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3" w:type="dxa"/>
                  <w:vMerge w:val="continue"/>
                  <w:tcBorders>
                    <w:top w:val="single" w:color="000000" w:sz="4" w:space="0"/>
                    <w:bottom w:val="single" w:color="000000" w:sz="4" w:space="0"/>
                  </w:tcBorders>
                  <w:vAlign w:val="center"/>
                </w:tcPr>
                <w:p w14:paraId="2CF5D9C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p>
              </w:tc>
              <w:tc>
                <w:tcPr>
                  <w:tcW w:w="1258" w:type="dxa"/>
                  <w:tcBorders>
                    <w:top w:val="single" w:color="000000" w:sz="4" w:space="0"/>
                    <w:bottom w:val="single" w:color="000000" w:sz="4" w:space="0"/>
                  </w:tcBorders>
                  <w:vAlign w:val="center"/>
                </w:tcPr>
                <w:p w14:paraId="0EEADFF1">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r>
                    <w:rPr>
                      <w:rFonts w:ascii="Times New Roman" w:hAnsi="Times New Roman" w:cs="Times New Roman" w:eastAsiaTheme="minorEastAsia"/>
                      <w:spacing w:val="-2"/>
                      <w:kern w:val="2"/>
                      <w:sz w:val="18"/>
                      <w:szCs w:val="18"/>
                      <w:lang w:val="en-US" w:eastAsia="en-US" w:bidi="ar-SA"/>
                    </w:rPr>
                    <w:t>N4</w:t>
                  </w:r>
                </w:p>
              </w:tc>
              <w:tc>
                <w:tcPr>
                  <w:tcW w:w="2547" w:type="dxa"/>
                  <w:tcBorders>
                    <w:top w:val="single" w:color="000000" w:sz="4" w:space="0"/>
                    <w:bottom w:val="single" w:color="000000" w:sz="4" w:space="0"/>
                  </w:tcBorders>
                  <w:vAlign w:val="center"/>
                </w:tcPr>
                <w:p w14:paraId="3B54F497">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eastAsiaTheme="minorEastAsia"/>
                      <w:spacing w:val="-2"/>
                      <w:kern w:val="2"/>
                      <w:sz w:val="18"/>
                      <w:szCs w:val="18"/>
                      <w:lang w:val="en-US" w:eastAsia="zh-CN" w:bidi="ar-SA"/>
                    </w:rPr>
                  </w:pPr>
                  <w:r>
                    <w:rPr>
                      <w:rFonts w:hint="default" w:ascii="Times New Roman" w:hAnsi="Times New Roman" w:cs="Times New Roman" w:eastAsiaTheme="minorEastAsia"/>
                      <w:spacing w:val="-2"/>
                      <w:kern w:val="2"/>
                      <w:sz w:val="18"/>
                      <w:szCs w:val="18"/>
                      <w:lang w:val="en-US" w:eastAsia="zh-CN" w:bidi="ar-SA"/>
                    </w:rPr>
                    <w:t>厂界</w:t>
                  </w:r>
                  <w:r>
                    <w:rPr>
                      <w:rFonts w:hint="eastAsia" w:ascii="Times New Roman" w:hAnsi="Times New Roman" w:cs="Times New Roman" w:eastAsiaTheme="minorEastAsia"/>
                      <w:spacing w:val="-2"/>
                      <w:kern w:val="2"/>
                      <w:sz w:val="18"/>
                      <w:szCs w:val="18"/>
                      <w:lang w:val="en-US" w:eastAsia="zh-CN" w:bidi="ar-SA"/>
                    </w:rPr>
                    <w:t>北</w:t>
                  </w:r>
                  <w:r>
                    <w:rPr>
                      <w:rFonts w:hint="default" w:ascii="Times New Roman" w:hAnsi="Times New Roman" w:cs="Times New Roman" w:eastAsiaTheme="minorEastAsia"/>
                      <w:spacing w:val="-2"/>
                      <w:kern w:val="2"/>
                      <w:sz w:val="18"/>
                      <w:szCs w:val="18"/>
                      <w:lang w:val="en-US" w:eastAsia="zh-CN" w:bidi="ar-SA"/>
                    </w:rPr>
                    <w:t>侧外1m处</w:t>
                  </w:r>
                </w:p>
              </w:tc>
              <w:tc>
                <w:tcPr>
                  <w:tcW w:w="4211" w:type="dxa"/>
                  <w:tcBorders>
                    <w:top w:val="single" w:color="000000" w:sz="4" w:space="0"/>
                    <w:bottom w:val="single" w:color="000000" w:sz="4" w:space="0"/>
                  </w:tcBorders>
                  <w:vAlign w:val="center"/>
                </w:tcPr>
                <w:p w14:paraId="24E6EA78">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eastAsiaTheme="minorEastAsia"/>
                      <w:spacing w:val="-2"/>
                      <w:kern w:val="2"/>
                      <w:sz w:val="18"/>
                      <w:szCs w:val="18"/>
                      <w:lang w:val="en-US" w:eastAsia="en-US" w:bidi="ar-SA"/>
                    </w:rPr>
                  </w:pPr>
                  <w:r>
                    <w:rPr>
                      <w:rFonts w:hint="eastAsia" w:ascii="Times New Roman" w:hAnsi="Times New Roman" w:cs="Times New Roman" w:eastAsiaTheme="minorEastAsia"/>
                      <w:spacing w:val="-2"/>
                      <w:kern w:val="2"/>
                      <w:sz w:val="18"/>
                      <w:szCs w:val="18"/>
                      <w:lang w:val="en-US" w:eastAsia="zh-CN" w:bidi="ar-SA"/>
                    </w:rPr>
                    <w:t>57</w:t>
                  </w:r>
                </w:p>
              </w:tc>
            </w:tr>
          </w:tbl>
          <w:p w14:paraId="6940CDB3">
            <w:pPr>
              <w:pStyle w:val="22"/>
              <w:keepNext w:val="0"/>
              <w:keepLines w:val="0"/>
              <w:pageBreakBefore w:val="0"/>
              <w:widowControl/>
              <w:kinsoku/>
              <w:wordWrap/>
              <w:overflowPunct/>
              <w:topLinePunct w:val="0"/>
              <w:autoSpaceDE/>
              <w:autoSpaceDN/>
              <w:bidi w:val="0"/>
              <w:adjustRightInd/>
              <w:snapToGrid/>
              <w:spacing w:after="0"/>
              <w:textAlignment w:val="auto"/>
              <w:outlineLvl w:val="9"/>
              <w:rPr>
                <w:rFonts w:hint="default" w:ascii="Times New Roman" w:hAnsi="Times New Roman" w:cs="Times New Roman"/>
                <w:snapToGrid w:val="0"/>
                <w:sz w:val="24"/>
                <w:szCs w:val="21"/>
              </w:rPr>
            </w:pPr>
            <w:r>
              <w:rPr>
                <w:rFonts w:hint="default" w:ascii="Times New Roman" w:hAnsi="Times New Roman" w:eastAsia="宋体" w:cs="Times New Roman"/>
                <w:color w:val="auto"/>
                <w:spacing w:val="-4"/>
                <w:sz w:val="24"/>
                <w:szCs w:val="24"/>
                <w:lang w:val="en-US" w:eastAsia="zh-CN"/>
              </w:rPr>
              <w:t>监测结果表明：监测期间，</w:t>
            </w:r>
            <w:r>
              <w:rPr>
                <w:rFonts w:hint="default" w:ascii="Times New Roman" w:hAnsi="Times New Roman" w:cs="Times New Roman"/>
                <w:color w:val="auto"/>
              </w:rPr>
              <w:t>项目</w:t>
            </w:r>
            <w:r>
              <w:rPr>
                <w:rFonts w:hint="default" w:ascii="Times New Roman" w:hAnsi="Times New Roman" w:cs="Times New Roman"/>
                <w:color w:val="auto"/>
                <w:lang w:val="en-US" w:eastAsia="zh-CN"/>
              </w:rPr>
              <w:t>厂界昼间</w:t>
            </w:r>
            <w:r>
              <w:rPr>
                <w:rFonts w:hint="default" w:ascii="Times New Roman" w:hAnsi="Times New Roman" w:cs="Times New Roman"/>
                <w:color w:val="auto"/>
              </w:rPr>
              <w:t>噪声</w:t>
            </w:r>
            <w:r>
              <w:rPr>
                <w:rFonts w:hint="default" w:ascii="Times New Roman" w:hAnsi="Times New Roman" w:cs="Times New Roman"/>
                <w:color w:val="auto"/>
                <w:lang w:eastAsia="zh-CN"/>
              </w:rPr>
              <w:t>达到</w:t>
            </w:r>
            <w:r>
              <w:rPr>
                <w:rFonts w:hint="default" w:ascii="Times New Roman" w:hAnsi="Times New Roman" w:cs="Times New Roman"/>
              </w:rPr>
              <w:t>《工业企业厂界噪声排放标准》（GB12348-2008）中</w:t>
            </w:r>
            <w:r>
              <w:rPr>
                <w:rFonts w:hint="eastAsia" w:ascii="Times New Roman" w:hAnsi="Times New Roman" w:cs="Times New Roman"/>
                <w:lang w:val="en-US" w:eastAsia="zh-CN"/>
              </w:rPr>
              <w:t>2</w:t>
            </w:r>
            <w:r>
              <w:rPr>
                <w:rFonts w:hint="default" w:ascii="Times New Roman" w:hAnsi="Times New Roman" w:cs="Times New Roman"/>
                <w:lang w:val="en-US" w:eastAsia="zh-CN"/>
              </w:rPr>
              <w:t>类标准</w:t>
            </w:r>
            <w:r>
              <w:rPr>
                <w:rFonts w:hint="default" w:ascii="Times New Roman" w:hAnsi="Times New Roman" w:cs="Times New Roman"/>
                <w:snapToGrid w:val="0"/>
                <w:sz w:val="24"/>
                <w:szCs w:val="21"/>
              </w:rPr>
              <w:t>。</w:t>
            </w:r>
          </w:p>
          <w:p w14:paraId="30D1B29C">
            <w:pPr>
              <w:pStyle w:val="22"/>
              <w:keepNext w:val="0"/>
              <w:keepLines w:val="0"/>
              <w:pageBreakBefore w:val="0"/>
              <w:widowControl/>
              <w:kinsoku/>
              <w:wordWrap/>
              <w:overflowPunct/>
              <w:topLinePunct w:val="0"/>
              <w:autoSpaceDE/>
              <w:autoSpaceDN/>
              <w:bidi w:val="0"/>
              <w:adjustRightInd/>
              <w:snapToGrid/>
              <w:spacing w:after="0"/>
              <w:textAlignment w:val="auto"/>
              <w:outlineLvl w:val="9"/>
              <w:rPr>
                <w:rFonts w:hint="default" w:ascii="Times New Roman" w:hAnsi="Times New Roman" w:cs="Times New Roman"/>
                <w:snapToGrid w:val="0"/>
                <w:sz w:val="24"/>
                <w:szCs w:val="21"/>
                <w:lang w:val="en-US" w:eastAsia="zh-CN"/>
              </w:rPr>
            </w:pPr>
          </w:p>
          <w:p w14:paraId="7396259A">
            <w:pPr>
              <w:pStyle w:val="22"/>
              <w:keepNext w:val="0"/>
              <w:keepLines w:val="0"/>
              <w:pageBreakBefore w:val="0"/>
              <w:widowControl/>
              <w:kinsoku/>
              <w:wordWrap/>
              <w:overflowPunct/>
              <w:topLinePunct w:val="0"/>
              <w:autoSpaceDE/>
              <w:autoSpaceDN/>
              <w:bidi w:val="0"/>
              <w:adjustRightInd/>
              <w:snapToGrid/>
              <w:spacing w:after="0"/>
              <w:textAlignment w:val="auto"/>
              <w:outlineLvl w:val="9"/>
              <w:rPr>
                <w:rFonts w:hint="default" w:ascii="Times New Roman" w:hAnsi="Times New Roman" w:eastAsia="宋体" w:cs="Times New Roman"/>
                <w:color w:val="FF0000"/>
                <w:kern w:val="2"/>
                <w:sz w:val="24"/>
                <w:lang w:val="en-US" w:eastAsia="zh-CN" w:bidi="ar-SA"/>
              </w:rPr>
            </w:pPr>
          </w:p>
          <w:p w14:paraId="675F503B">
            <w:pPr>
              <w:pStyle w:val="22"/>
              <w:keepNext w:val="0"/>
              <w:keepLines w:val="0"/>
              <w:pageBreakBefore w:val="0"/>
              <w:widowControl/>
              <w:kinsoku/>
              <w:wordWrap/>
              <w:overflowPunct/>
              <w:topLinePunct w:val="0"/>
              <w:autoSpaceDE/>
              <w:autoSpaceDN/>
              <w:bidi w:val="0"/>
              <w:adjustRightInd/>
              <w:snapToGrid/>
              <w:spacing w:after="0"/>
              <w:textAlignment w:val="auto"/>
              <w:outlineLvl w:val="9"/>
              <w:rPr>
                <w:rFonts w:hint="default" w:ascii="Times New Roman" w:hAnsi="Times New Roman" w:eastAsia="宋体" w:cs="Times New Roman"/>
                <w:kern w:val="2"/>
                <w:sz w:val="24"/>
                <w:lang w:val="en-US" w:eastAsia="zh-CN" w:bidi="ar-SA"/>
              </w:rPr>
            </w:pPr>
          </w:p>
          <w:p w14:paraId="496BFE6C">
            <w:pPr>
              <w:pStyle w:val="22"/>
              <w:keepNext w:val="0"/>
              <w:keepLines w:val="0"/>
              <w:pageBreakBefore w:val="0"/>
              <w:widowControl/>
              <w:kinsoku/>
              <w:wordWrap/>
              <w:overflowPunct/>
              <w:topLinePunct w:val="0"/>
              <w:autoSpaceDE/>
              <w:autoSpaceDN/>
              <w:bidi w:val="0"/>
              <w:adjustRightInd/>
              <w:snapToGrid/>
              <w:spacing w:after="0"/>
              <w:textAlignment w:val="auto"/>
              <w:outlineLvl w:val="9"/>
              <w:rPr>
                <w:rFonts w:hint="default" w:ascii="Times New Roman" w:hAnsi="Times New Roman" w:eastAsia="宋体" w:cs="Times New Roman"/>
                <w:kern w:val="2"/>
                <w:sz w:val="24"/>
                <w:lang w:val="en-US" w:eastAsia="zh-CN" w:bidi="ar-SA"/>
              </w:rPr>
            </w:pPr>
          </w:p>
        </w:tc>
      </w:tr>
    </w:tbl>
    <w:p w14:paraId="7DDADCA3">
      <w:pPr>
        <w:rPr>
          <w:rFonts w:hint="default" w:ascii="Times New Roman" w:hAnsi="Times New Roman" w:cs="Times New Roman"/>
          <w:sz w:val="2"/>
          <w:szCs w:val="2"/>
        </w:rPr>
      </w:pPr>
    </w:p>
    <w:p w14:paraId="1A9EDD5D">
      <w:pPr>
        <w:rPr>
          <w:rFonts w:hint="default" w:ascii="Times New Roman" w:hAnsi="Times New Roman" w:cs="Times New Roman"/>
          <w:sz w:val="2"/>
          <w:szCs w:val="2"/>
        </w:rPr>
        <w:sectPr>
          <w:pgSz w:w="11911" w:h="16838"/>
          <w:pgMar w:top="1440" w:right="1361" w:bottom="1440" w:left="1361" w:header="964" w:footer="918" w:gutter="0"/>
          <w:pgBorders>
            <w:top w:val="none" w:sz="0" w:space="0"/>
            <w:left w:val="none" w:sz="0" w:space="0"/>
            <w:bottom w:val="none" w:sz="0" w:space="0"/>
            <w:right w:val="none" w:sz="0" w:space="0"/>
          </w:pgBorders>
          <w:pgNumType w:fmt="decimal"/>
          <w:cols w:space="720" w:num="1"/>
          <w:rtlGutter w:val="0"/>
          <w:docGrid w:linePitch="0" w:charSpace="0"/>
        </w:sectPr>
      </w:pPr>
    </w:p>
    <w:p w14:paraId="58E65FB1">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kern w:val="0"/>
          <w:sz w:val="32"/>
          <w:szCs w:val="56"/>
          <w:lang w:val="en-US" w:bidi="ar-SA"/>
        </w:rPr>
      </w:pPr>
      <w:bookmarkStart w:id="36" w:name="表9_环境管理状况及监测计划"/>
      <w:bookmarkEnd w:id="36"/>
      <w:bookmarkStart w:id="37" w:name="_Toc26703"/>
      <w:bookmarkStart w:id="38" w:name="_Toc5252"/>
      <w:r>
        <w:rPr>
          <w:rFonts w:hint="default" w:ascii="Times New Roman" w:hAnsi="Times New Roman" w:eastAsia="宋体" w:cs="Times New Roman"/>
          <w:b/>
          <w:bCs/>
          <w:kern w:val="0"/>
          <w:sz w:val="32"/>
          <w:szCs w:val="56"/>
          <w:lang w:val="en-US" w:bidi="ar-SA"/>
        </w:rPr>
        <w:t xml:space="preserve">表9 </w:t>
      </w:r>
      <w:r>
        <w:rPr>
          <w:rFonts w:hint="default" w:ascii="Times New Roman" w:hAnsi="Times New Roman" w:eastAsia="宋体" w:cs="Times New Roman"/>
          <w:b/>
          <w:bCs/>
          <w:kern w:val="0"/>
          <w:sz w:val="32"/>
          <w:szCs w:val="56"/>
          <w:lang w:val="en-US" w:eastAsia="zh-CN" w:bidi="ar-SA"/>
        </w:rPr>
        <w:t xml:space="preserve"> </w:t>
      </w:r>
      <w:r>
        <w:rPr>
          <w:rFonts w:hint="default" w:ascii="Times New Roman" w:hAnsi="Times New Roman" w:eastAsia="宋体" w:cs="Times New Roman"/>
          <w:b/>
          <w:bCs/>
          <w:kern w:val="0"/>
          <w:sz w:val="32"/>
          <w:szCs w:val="56"/>
          <w:lang w:val="en-US" w:bidi="ar-SA"/>
        </w:rPr>
        <w:t>环境管理状况及监测计划</w:t>
      </w:r>
      <w:bookmarkEnd w:id="37"/>
      <w:bookmarkEnd w:id="38"/>
    </w:p>
    <w:tbl>
      <w:tblPr>
        <w:tblStyle w:val="17"/>
        <w:tblW w:w="52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602"/>
      </w:tblGrid>
      <w:tr w14:paraId="6F06E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jc w:val="center"/>
        </w:trPr>
        <w:tc>
          <w:tcPr>
            <w:tcW w:w="5000" w:type="pct"/>
            <w:noWrap w:val="0"/>
            <w:vAlign w:val="top"/>
          </w:tcPr>
          <w:p w14:paraId="380786FF">
            <w:pPr>
              <w:pStyle w:val="23"/>
              <w:spacing w:line="360" w:lineRule="auto"/>
              <w:jc w:val="both"/>
              <w:rPr>
                <w:rFonts w:hint="default" w:ascii="Times New Roman" w:hAnsi="Times New Roman" w:cs="Times New Roman"/>
                <w:b/>
                <w:sz w:val="28"/>
              </w:rPr>
            </w:pPr>
            <w:r>
              <w:rPr>
                <w:rFonts w:hint="default" w:ascii="Times New Roman" w:hAnsi="Times New Roman" w:cs="Times New Roman"/>
                <w:b/>
                <w:sz w:val="28"/>
              </w:rPr>
              <w:t>环境管理机构设置</w:t>
            </w:r>
          </w:p>
          <w:p w14:paraId="60DFC4C1">
            <w:pPr>
              <w:pStyle w:val="23"/>
              <w:spacing w:line="360" w:lineRule="auto"/>
              <w:ind w:firstLine="480" w:firstLineChars="20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项目</w:t>
            </w:r>
            <w:r>
              <w:rPr>
                <w:rFonts w:hint="default" w:ascii="Times New Roman" w:hAnsi="Times New Roman" w:cs="Times New Roman"/>
                <w:sz w:val="24"/>
                <w:lang w:eastAsia="zh-CN"/>
              </w:rPr>
              <w:t>属于土砂石开采</w:t>
            </w:r>
            <w:r>
              <w:rPr>
                <w:rFonts w:hint="eastAsia" w:cs="Times New Roman"/>
                <w:sz w:val="24"/>
                <w:lang w:val="en-US" w:eastAsia="zh-CN"/>
              </w:rPr>
              <w:t>行业</w:t>
            </w:r>
            <w:r>
              <w:rPr>
                <w:rFonts w:hint="default" w:ascii="Times New Roman" w:hAnsi="Times New Roman" w:cs="Times New Roman"/>
                <w:sz w:val="24"/>
              </w:rPr>
              <w:t>，日常运行过程不会对周边环境</w:t>
            </w:r>
            <w:r>
              <w:rPr>
                <w:rFonts w:hint="default" w:ascii="Times New Roman" w:hAnsi="Times New Roman" w:cs="Times New Roman"/>
                <w:sz w:val="24"/>
                <w:lang w:eastAsia="zh-CN"/>
              </w:rPr>
              <w:t>造成</w:t>
            </w:r>
            <w:r>
              <w:rPr>
                <w:rFonts w:hint="default" w:ascii="Times New Roman" w:hAnsi="Times New Roman" w:cs="Times New Roman"/>
                <w:sz w:val="24"/>
                <w:lang w:val="en-US" w:eastAsia="zh-CN"/>
              </w:rPr>
              <w:t>较大的</w:t>
            </w:r>
            <w:r>
              <w:rPr>
                <w:rFonts w:hint="default" w:ascii="Times New Roman" w:hAnsi="Times New Roman" w:cs="Times New Roman"/>
                <w:sz w:val="24"/>
              </w:rPr>
              <w:t>影响，</w:t>
            </w:r>
            <w:r>
              <w:rPr>
                <w:rFonts w:hint="default" w:ascii="Times New Roman" w:hAnsi="Times New Roman" w:cs="Times New Roman"/>
                <w:sz w:val="24"/>
                <w:lang w:val="en-US" w:eastAsia="zh-CN"/>
              </w:rPr>
              <w:t>我公司已成立突发环境事件应急领导小组，安全领导小组等组织机构。单位</w:t>
            </w:r>
            <w:r>
              <w:rPr>
                <w:rFonts w:hint="default" w:ascii="Times New Roman" w:hAnsi="Times New Roman" w:cs="Times New Roman"/>
                <w:sz w:val="24"/>
              </w:rPr>
              <w:t>环境管理机构有管理人员兼任，负责日常</w:t>
            </w:r>
            <w:r>
              <w:rPr>
                <w:rFonts w:hint="eastAsia" w:ascii="Times New Roman" w:hAnsi="Times New Roman" w:cs="Times New Roman"/>
                <w:sz w:val="24"/>
                <w:lang w:val="en-US" w:eastAsia="zh-CN"/>
              </w:rPr>
              <w:t>环保</w:t>
            </w:r>
            <w:r>
              <w:rPr>
                <w:rFonts w:hint="default" w:ascii="Times New Roman" w:hAnsi="Times New Roman" w:cs="Times New Roman"/>
                <w:sz w:val="24"/>
              </w:rPr>
              <w:t>设施</w:t>
            </w:r>
            <w:r>
              <w:rPr>
                <w:rFonts w:hint="default" w:ascii="Times New Roman" w:hAnsi="Times New Roman" w:cs="Times New Roman"/>
                <w:sz w:val="24"/>
                <w:lang w:val="en-US" w:eastAsia="zh-CN"/>
              </w:rPr>
              <w:t>的</w:t>
            </w:r>
            <w:r>
              <w:rPr>
                <w:rFonts w:hint="default" w:ascii="Times New Roman" w:hAnsi="Times New Roman" w:cs="Times New Roman"/>
                <w:sz w:val="24"/>
              </w:rPr>
              <w:t>正常运行</w:t>
            </w:r>
            <w:r>
              <w:rPr>
                <w:rFonts w:hint="default" w:ascii="Times New Roman" w:hAnsi="Times New Roman" w:cs="Times New Roman"/>
                <w:sz w:val="24"/>
                <w:lang w:val="en-US" w:eastAsia="zh-CN"/>
              </w:rPr>
              <w:t>。</w:t>
            </w:r>
          </w:p>
        </w:tc>
      </w:tr>
      <w:tr w14:paraId="15AD8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8" w:hRule="atLeast"/>
          <w:jc w:val="center"/>
        </w:trPr>
        <w:tc>
          <w:tcPr>
            <w:tcW w:w="5000" w:type="pct"/>
            <w:noWrap w:val="0"/>
            <w:vAlign w:val="top"/>
          </w:tcPr>
          <w:p w14:paraId="44B7EF35">
            <w:pPr>
              <w:pStyle w:val="23"/>
              <w:spacing w:line="360" w:lineRule="auto"/>
              <w:jc w:val="both"/>
              <w:rPr>
                <w:rFonts w:hint="default" w:ascii="Times New Roman" w:hAnsi="Times New Roman" w:eastAsia="宋体" w:cs="Times New Roman"/>
                <w:b/>
                <w:sz w:val="28"/>
              </w:rPr>
            </w:pPr>
            <w:r>
              <w:rPr>
                <w:rFonts w:hint="default" w:ascii="Times New Roman" w:hAnsi="Times New Roman" w:eastAsia="宋体" w:cs="Times New Roman"/>
                <w:b/>
                <w:sz w:val="28"/>
              </w:rPr>
              <w:t>环境监测能力建设情况</w:t>
            </w:r>
          </w:p>
          <w:p w14:paraId="1AF7CA10">
            <w:pPr>
              <w:pStyle w:val="23"/>
              <w:spacing w:line="360" w:lineRule="auto"/>
              <w:ind w:firstLine="452" w:firstLineChars="200"/>
              <w:jc w:val="both"/>
              <w:rPr>
                <w:rFonts w:hint="default" w:ascii="Times New Roman" w:hAnsi="Times New Roman" w:eastAsia="宋体" w:cs="Times New Roman"/>
                <w:sz w:val="24"/>
                <w:lang w:val="en-US" w:eastAsia="zh-CN"/>
              </w:rPr>
            </w:pPr>
            <w:r>
              <w:rPr>
                <w:rFonts w:hint="default" w:ascii="Times New Roman" w:hAnsi="Times New Roman" w:cs="Times New Roman"/>
                <w:spacing w:val="-7"/>
                <w:sz w:val="24"/>
              </w:rPr>
              <w:t>项目</w:t>
            </w:r>
            <w:r>
              <w:rPr>
                <w:rFonts w:hint="default" w:ascii="Times New Roman" w:hAnsi="Times New Roman" w:cs="Times New Roman"/>
                <w:spacing w:val="-7"/>
                <w:sz w:val="24"/>
                <w:lang w:val="en-US" w:eastAsia="zh-CN"/>
              </w:rPr>
              <w:t>运营</w:t>
            </w:r>
            <w:r>
              <w:rPr>
                <w:rFonts w:hint="default" w:ascii="Times New Roman" w:hAnsi="Times New Roman" w:cs="Times New Roman"/>
                <w:spacing w:val="-7"/>
                <w:sz w:val="24"/>
              </w:rPr>
              <w:t>期对环境影响较小，根据</w:t>
            </w:r>
            <w:r>
              <w:rPr>
                <w:rFonts w:hint="default" w:ascii="Times New Roman" w:hAnsi="Times New Roman" w:cs="Times New Roman"/>
                <w:sz w:val="24"/>
              </w:rPr>
              <w:t>环境影响评价</w:t>
            </w:r>
            <w:r>
              <w:rPr>
                <w:rFonts w:hint="default" w:ascii="Times New Roman" w:hAnsi="Times New Roman" w:cs="Times New Roman"/>
                <w:spacing w:val="-5"/>
                <w:sz w:val="24"/>
              </w:rPr>
              <w:t>报告</w:t>
            </w:r>
            <w:r>
              <w:rPr>
                <w:rFonts w:hint="default" w:ascii="Times New Roman" w:hAnsi="Times New Roman" w:cs="Times New Roman"/>
                <w:spacing w:val="-5"/>
                <w:sz w:val="24"/>
                <w:lang w:val="en-US" w:eastAsia="zh-CN"/>
              </w:rPr>
              <w:t>表</w:t>
            </w:r>
            <w:r>
              <w:rPr>
                <w:rFonts w:hint="default" w:ascii="Times New Roman" w:hAnsi="Times New Roman" w:cs="Times New Roman"/>
                <w:spacing w:val="-5"/>
                <w:sz w:val="24"/>
              </w:rPr>
              <w:t>和环境影响评价文件批复的要求，</w:t>
            </w:r>
            <w:r>
              <w:rPr>
                <w:rFonts w:hint="default" w:ascii="Times New Roman" w:hAnsi="Times New Roman" w:cs="Times New Roman"/>
                <w:spacing w:val="-5"/>
                <w:sz w:val="24"/>
                <w:lang w:val="en-US" w:eastAsia="zh-CN"/>
              </w:rPr>
              <w:t>主要开展生态监测，对植被进行恢复，对动物进行保护，对场地进行复垦等</w:t>
            </w:r>
            <w:r>
              <w:rPr>
                <w:rFonts w:hint="default" w:ascii="Times New Roman" w:hAnsi="Times New Roman" w:cs="Times New Roman"/>
                <w:sz w:val="24"/>
              </w:rPr>
              <w:t>。</w:t>
            </w:r>
            <w:r>
              <w:rPr>
                <w:rFonts w:hint="default" w:ascii="Times New Roman" w:hAnsi="Times New Roman" w:cs="Times New Roman"/>
                <w:sz w:val="24"/>
                <w:lang w:val="en-US" w:eastAsia="zh-CN"/>
              </w:rPr>
              <w:t>我公司将根据运营过程中可能发生的环境投诉或突发环境事件委托具有监测资质的单位进行监测。</w:t>
            </w:r>
          </w:p>
        </w:tc>
      </w:tr>
      <w:tr w14:paraId="30B75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3" w:hRule="atLeast"/>
          <w:jc w:val="center"/>
        </w:trPr>
        <w:tc>
          <w:tcPr>
            <w:tcW w:w="5000" w:type="pct"/>
            <w:noWrap w:val="0"/>
            <w:vAlign w:val="top"/>
          </w:tcPr>
          <w:p w14:paraId="52190F59">
            <w:pPr>
              <w:spacing w:line="360" w:lineRule="auto"/>
              <w:rPr>
                <w:rFonts w:hint="default" w:ascii="Times New Roman" w:hAnsi="Times New Roman" w:eastAsia="宋体" w:cs="Times New Roman"/>
                <w:b/>
                <w:sz w:val="28"/>
                <w:szCs w:val="22"/>
                <w:lang w:val="zh-CN" w:eastAsia="zh-CN" w:bidi="zh-CN"/>
              </w:rPr>
            </w:pPr>
            <w:r>
              <w:rPr>
                <w:rFonts w:hint="default" w:ascii="Times New Roman" w:hAnsi="Times New Roman" w:eastAsia="宋体" w:cs="Times New Roman"/>
                <w:b/>
                <w:sz w:val="28"/>
                <w:szCs w:val="22"/>
                <w:lang w:val="zh-CN" w:eastAsia="zh-CN" w:bidi="zh-CN"/>
              </w:rPr>
              <w:t>环境影响报告表中提出的监测计划及其落实情况</w:t>
            </w:r>
          </w:p>
          <w:p w14:paraId="6516C51B">
            <w:pPr>
              <w:pStyle w:val="23"/>
              <w:spacing w:line="360" w:lineRule="auto"/>
              <w:ind w:firstLine="480" w:firstLineChars="200"/>
              <w:jc w:val="both"/>
              <w:rPr>
                <w:rFonts w:hint="eastAsia" w:eastAsia="宋体"/>
                <w:color w:val="000000"/>
                <w:kern w:val="0"/>
                <w:sz w:val="24"/>
              </w:rPr>
            </w:pPr>
            <w:r>
              <w:rPr>
                <w:rFonts w:hint="default" w:ascii="Times New Roman" w:hAnsi="Times New Roman" w:eastAsia="宋体" w:cs="Times New Roman"/>
                <w:color w:val="auto"/>
                <w:sz w:val="24"/>
                <w:lang w:eastAsia="zh-CN"/>
              </w:rPr>
              <w:t>根据项目污染物特点和</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排污许可证申请与核发技术规范</w:t>
            </w:r>
            <w:r>
              <w:rPr>
                <w:rFonts w:hint="eastAsia" w:ascii="Times New Roman" w:hAnsi="Times New Roman" w:eastAsia="宋体" w:cs="Times New Roman"/>
                <w:color w:val="auto"/>
                <w:sz w:val="24"/>
                <w:lang w:val="en-US" w:eastAsia="zh-CN"/>
              </w:rPr>
              <w:t xml:space="preserve">  总则</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HJ942-2018）、</w:t>
            </w:r>
            <w:r>
              <w:rPr>
                <w:rFonts w:hint="eastAsia" w:ascii="Times New Roman" w:hAnsi="Times New Roman" w:cs="Times New Roman"/>
                <w:color w:val="auto"/>
                <w:sz w:val="24"/>
                <w:lang w:val="en-US" w:eastAsia="zh-CN"/>
              </w:rPr>
              <w:t>《排污单位自行监测技术指南  总则》（HJ819-2017），</w:t>
            </w:r>
            <w:r>
              <w:rPr>
                <w:rFonts w:hint="eastAsia" w:eastAsia="宋体"/>
                <w:color w:val="000000"/>
                <w:kern w:val="0"/>
                <w:sz w:val="24"/>
                <w:lang w:val="en-US" w:eastAsia="zh-CN"/>
              </w:rPr>
              <w:t>公司</w:t>
            </w:r>
            <w:r>
              <w:rPr>
                <w:rFonts w:hint="eastAsia" w:eastAsia="宋体"/>
                <w:color w:val="000000"/>
                <w:kern w:val="0"/>
                <w:sz w:val="24"/>
              </w:rPr>
              <w:t>已制定了环境监测计划，在运营期间，由</w:t>
            </w:r>
            <w:r>
              <w:rPr>
                <w:rFonts w:hint="eastAsia"/>
                <w:color w:val="000000"/>
                <w:kern w:val="0"/>
                <w:sz w:val="24"/>
                <w:lang w:val="en-US" w:eastAsia="zh-CN"/>
              </w:rPr>
              <w:t>博创检测（湖北）有限公司</w:t>
            </w:r>
            <w:r>
              <w:rPr>
                <w:rFonts w:hint="eastAsia" w:eastAsia="宋体"/>
                <w:color w:val="000000"/>
                <w:kern w:val="0"/>
                <w:sz w:val="24"/>
              </w:rPr>
              <w:t>进行竣工验收监测，环境监测计划有效落实，检测报告归档保存。</w:t>
            </w:r>
          </w:p>
          <w:p w14:paraId="5593EE9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color w:val="auto"/>
                <w:sz w:val="24"/>
                <w:szCs w:val="24"/>
                <w:u w:val="none"/>
                <w:lang w:val="en-US" w:eastAsia="zh-CN"/>
              </w:rPr>
            </w:pPr>
            <w:r>
              <w:rPr>
                <w:rFonts w:hint="eastAsia" w:ascii="Times New Roman" w:hAnsi="Times New Roman" w:cs="Times New Roman"/>
                <w:color w:val="auto"/>
                <w:sz w:val="24"/>
                <w:lang w:val="en-US" w:eastAsia="zh-CN"/>
              </w:rPr>
              <w:t>环境</w:t>
            </w:r>
            <w:r>
              <w:rPr>
                <w:rFonts w:hint="default" w:ascii="Times New Roman" w:hAnsi="Times New Roman" w:cs="Times New Roman"/>
                <w:color w:val="auto"/>
                <w:sz w:val="24"/>
                <w:lang w:eastAsia="zh-CN"/>
              </w:rPr>
              <w:t>监</w:t>
            </w:r>
            <w:r>
              <w:rPr>
                <w:rFonts w:hint="default" w:ascii="Times New Roman" w:hAnsi="Times New Roman" w:cs="Times New Roman"/>
                <w:color w:val="auto"/>
                <w:sz w:val="24"/>
                <w:szCs w:val="24"/>
                <w:lang w:eastAsia="zh-CN"/>
              </w:rPr>
              <w:t>测计划见表</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w:t>
            </w:r>
          </w:p>
          <w:p w14:paraId="49359F1A">
            <w:pPr>
              <w:pStyle w:val="40"/>
              <w:spacing w:before="156" w:beforeLines="50" w:line="240" w:lineRule="auto"/>
              <w:ind w:firstLine="0" w:firstLineChars="0"/>
              <w:jc w:val="center"/>
              <w:rPr>
                <w:rFonts w:hint="default" w:ascii="Times New Roman" w:hAnsi="Times New Roman" w:cs="Times New Roman"/>
                <w:b/>
                <w:bCs/>
                <w:color w:val="auto"/>
                <w:sz w:val="24"/>
                <w:szCs w:val="24"/>
                <w:u w:val="none"/>
                <w:lang w:val="en-US" w:eastAsia="zh-CN"/>
              </w:rPr>
            </w:pPr>
            <w:r>
              <w:rPr>
                <w:rFonts w:hint="default" w:ascii="Times New Roman" w:hAnsi="Times New Roman" w:cs="Times New Roman"/>
                <w:b/>
                <w:bCs/>
                <w:color w:val="auto"/>
                <w:sz w:val="24"/>
                <w:szCs w:val="24"/>
                <w:u w:val="none"/>
                <w:lang w:val="en-US" w:eastAsia="zh-CN"/>
              </w:rPr>
              <w:t>表</w:t>
            </w:r>
            <w:r>
              <w:rPr>
                <w:rFonts w:hint="eastAsia" w:ascii="Times New Roman" w:hAnsi="Times New Roman" w:cs="Times New Roman"/>
                <w:b/>
                <w:bCs/>
                <w:color w:val="auto"/>
                <w:sz w:val="24"/>
                <w:szCs w:val="24"/>
                <w:u w:val="none"/>
                <w:lang w:val="en-US" w:eastAsia="zh-CN"/>
              </w:rPr>
              <w:t>9</w:t>
            </w:r>
            <w:r>
              <w:rPr>
                <w:rFonts w:hint="default" w:ascii="Times New Roman" w:hAnsi="Times New Roman" w:cs="Times New Roman"/>
                <w:b/>
                <w:bCs/>
                <w:color w:val="auto"/>
                <w:sz w:val="24"/>
                <w:szCs w:val="24"/>
                <w:u w:val="none"/>
                <w:lang w:val="en-US" w:eastAsia="zh-CN"/>
              </w:rPr>
              <w:t>-</w:t>
            </w:r>
            <w:r>
              <w:rPr>
                <w:rFonts w:hint="eastAsia" w:ascii="Times New Roman" w:hAnsi="Times New Roman" w:cs="Times New Roman"/>
                <w:b/>
                <w:bCs/>
                <w:color w:val="auto"/>
                <w:sz w:val="24"/>
                <w:szCs w:val="24"/>
                <w:u w:val="none"/>
                <w:lang w:val="en-US" w:eastAsia="zh-CN"/>
              </w:rPr>
              <w:t>1</w:t>
            </w:r>
            <w:r>
              <w:rPr>
                <w:rFonts w:hint="default" w:ascii="Times New Roman" w:hAnsi="Times New Roman" w:cs="Times New Roman"/>
                <w:b/>
                <w:bCs/>
                <w:color w:val="auto"/>
                <w:sz w:val="24"/>
                <w:szCs w:val="24"/>
                <w:u w:val="none"/>
                <w:lang w:val="en-US" w:eastAsia="zh-CN"/>
              </w:rPr>
              <w:t xml:space="preserve">  环境监测计划一览表</w:t>
            </w:r>
          </w:p>
          <w:tbl>
            <w:tblPr>
              <w:tblStyle w:val="17"/>
              <w:tblW w:w="9418"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81"/>
              <w:gridCol w:w="1930"/>
              <w:gridCol w:w="2524"/>
              <w:gridCol w:w="1332"/>
              <w:gridCol w:w="2551"/>
            </w:tblGrid>
            <w:tr w14:paraId="79C26D3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81" w:type="dxa"/>
                  <w:tcBorders>
                    <w:top w:val="single" w:color="auto" w:sz="12" w:space="0"/>
                    <w:bottom w:val="single" w:color="auto" w:sz="12" w:space="0"/>
                    <w:right w:val="single" w:color="auto" w:sz="4" w:space="0"/>
                  </w:tcBorders>
                  <w:noWrap w:val="0"/>
                  <w:vAlign w:val="center"/>
                </w:tcPr>
                <w:p w14:paraId="6BB19DA9">
                  <w:pPr>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监测项目</w:t>
                  </w:r>
                </w:p>
              </w:tc>
              <w:tc>
                <w:tcPr>
                  <w:tcW w:w="1930" w:type="dxa"/>
                  <w:tcBorders>
                    <w:top w:val="single" w:color="auto" w:sz="12" w:space="0"/>
                    <w:left w:val="single" w:color="auto" w:sz="4" w:space="0"/>
                    <w:bottom w:val="single" w:color="auto" w:sz="12" w:space="0"/>
                    <w:right w:val="single" w:color="auto" w:sz="4" w:space="0"/>
                  </w:tcBorders>
                  <w:noWrap w:val="0"/>
                  <w:vAlign w:val="center"/>
                </w:tcPr>
                <w:p w14:paraId="79CF4485">
                  <w:pPr>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监测因子</w:t>
                  </w:r>
                </w:p>
              </w:tc>
              <w:tc>
                <w:tcPr>
                  <w:tcW w:w="2524" w:type="dxa"/>
                  <w:tcBorders>
                    <w:top w:val="single" w:color="auto" w:sz="12" w:space="0"/>
                    <w:left w:val="single" w:color="auto" w:sz="4" w:space="0"/>
                    <w:bottom w:val="single" w:color="auto" w:sz="12" w:space="0"/>
                    <w:right w:val="single" w:color="auto" w:sz="4" w:space="0"/>
                  </w:tcBorders>
                  <w:noWrap w:val="0"/>
                  <w:vAlign w:val="center"/>
                </w:tcPr>
                <w:p w14:paraId="606E624D">
                  <w:pPr>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监测单位</w:t>
                  </w:r>
                </w:p>
              </w:tc>
              <w:tc>
                <w:tcPr>
                  <w:tcW w:w="1332" w:type="dxa"/>
                  <w:tcBorders>
                    <w:top w:val="single" w:color="auto" w:sz="12" w:space="0"/>
                    <w:left w:val="single" w:color="auto" w:sz="4" w:space="0"/>
                    <w:bottom w:val="single" w:color="auto" w:sz="12" w:space="0"/>
                    <w:right w:val="single" w:color="auto" w:sz="4" w:space="0"/>
                  </w:tcBorders>
                  <w:noWrap w:val="0"/>
                  <w:vAlign w:val="center"/>
                </w:tcPr>
                <w:p w14:paraId="506D9CFD">
                  <w:pPr>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监测频次</w:t>
                  </w:r>
                </w:p>
              </w:tc>
              <w:tc>
                <w:tcPr>
                  <w:tcW w:w="2551" w:type="dxa"/>
                  <w:tcBorders>
                    <w:top w:val="single" w:color="auto" w:sz="12" w:space="0"/>
                    <w:left w:val="single" w:color="auto" w:sz="4" w:space="0"/>
                    <w:bottom w:val="single" w:color="auto" w:sz="12" w:space="0"/>
                  </w:tcBorders>
                  <w:noWrap w:val="0"/>
                  <w:vAlign w:val="center"/>
                </w:tcPr>
                <w:p w14:paraId="3897C224">
                  <w:pPr>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监测点位</w:t>
                  </w:r>
                </w:p>
              </w:tc>
            </w:tr>
            <w:tr w14:paraId="0E1AD8B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81" w:type="dxa"/>
                  <w:tcBorders>
                    <w:right w:val="single" w:color="auto" w:sz="4" w:space="0"/>
                  </w:tcBorders>
                  <w:noWrap w:val="0"/>
                  <w:vAlign w:val="center"/>
                </w:tcPr>
                <w:p w14:paraId="294D87C8">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废气</w:t>
                  </w:r>
                </w:p>
              </w:tc>
              <w:tc>
                <w:tcPr>
                  <w:tcW w:w="1930" w:type="dxa"/>
                  <w:tcBorders>
                    <w:left w:val="single" w:color="auto" w:sz="4" w:space="0"/>
                    <w:bottom w:val="single" w:color="auto" w:sz="4" w:space="0"/>
                    <w:right w:val="single" w:color="auto" w:sz="4" w:space="0"/>
                  </w:tcBorders>
                  <w:noWrap w:val="0"/>
                  <w:vAlign w:val="center"/>
                </w:tcPr>
                <w:p w14:paraId="736948CC">
                  <w:pPr>
                    <w:spacing w:line="240" w:lineRule="auto"/>
                    <w:jc w:val="center"/>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颗粒物</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29538E6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委托有资质</w:t>
                  </w:r>
                  <w:r>
                    <w:rPr>
                      <w:rFonts w:hint="eastAsia" w:ascii="Times New Roman" w:hAnsi="Times New Roman" w:cs="Times New Roman"/>
                      <w:color w:val="auto"/>
                      <w:sz w:val="18"/>
                      <w:szCs w:val="18"/>
                      <w:lang w:eastAsia="zh-CN"/>
                    </w:rPr>
                    <w:t>的</w:t>
                  </w:r>
                  <w:r>
                    <w:rPr>
                      <w:rFonts w:hint="default" w:ascii="Times New Roman" w:hAnsi="Times New Roman" w:cs="Times New Roman"/>
                      <w:color w:val="auto"/>
                      <w:sz w:val="18"/>
                      <w:szCs w:val="18"/>
                    </w:rPr>
                    <w:t>监测单位</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0EEF88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000000"/>
                      <w:sz w:val="18"/>
                      <w:szCs w:val="18"/>
                    </w:rPr>
                    <w:t>每</w:t>
                  </w:r>
                  <w:r>
                    <w:rPr>
                      <w:rFonts w:hint="eastAsia" w:cs="Times New Roman"/>
                      <w:color w:val="000000"/>
                      <w:sz w:val="18"/>
                      <w:szCs w:val="18"/>
                      <w:lang w:eastAsia="zh-CN"/>
                    </w:rPr>
                    <w:t>季度</w:t>
                  </w:r>
                  <w:r>
                    <w:rPr>
                      <w:rFonts w:hint="default" w:ascii="Times New Roman" w:hAnsi="Times New Roman" w:eastAsia="宋体" w:cs="Times New Roman"/>
                      <w:color w:val="000000"/>
                      <w:sz w:val="18"/>
                      <w:szCs w:val="18"/>
                    </w:rPr>
                    <w:t>一次</w:t>
                  </w:r>
                </w:p>
              </w:tc>
              <w:tc>
                <w:tcPr>
                  <w:tcW w:w="2551" w:type="dxa"/>
                  <w:tcBorders>
                    <w:left w:val="single" w:color="auto" w:sz="4" w:space="0"/>
                    <w:bottom w:val="single" w:color="auto" w:sz="4" w:space="0"/>
                  </w:tcBorders>
                  <w:noWrap w:val="0"/>
                  <w:vAlign w:val="center"/>
                </w:tcPr>
                <w:p w14:paraId="34B8C36E">
                  <w:pPr>
                    <w:spacing w:line="240" w:lineRule="auto"/>
                    <w:jc w:val="center"/>
                    <w:rPr>
                      <w:rFonts w:hint="default" w:ascii="Times New Roman" w:hAnsi="Times New Roman" w:eastAsia="宋体" w:cs="Times New Roman"/>
                      <w:color w:val="auto"/>
                      <w:sz w:val="18"/>
                      <w:szCs w:val="18"/>
                      <w:lang w:eastAsia="zh-CN"/>
                    </w:rPr>
                  </w:pPr>
                  <w:r>
                    <w:rPr>
                      <w:rFonts w:hint="eastAsia"/>
                      <w:sz w:val="18"/>
                      <w:szCs w:val="18"/>
                      <w:lang w:val="en-US" w:eastAsia="zh-CN"/>
                    </w:rPr>
                    <w:t>项目厂界</w:t>
                  </w:r>
                  <w:r>
                    <w:rPr>
                      <w:rFonts w:hint="eastAsia" w:ascii="Times New Roman" w:hAnsi="Times New Roman" w:eastAsia="宋体" w:cs="Times New Roman"/>
                      <w:color w:val="auto"/>
                      <w:sz w:val="18"/>
                      <w:szCs w:val="18"/>
                      <w:lang w:eastAsia="zh-CN"/>
                    </w:rPr>
                    <w:t>上、下风向</w:t>
                  </w:r>
                </w:p>
              </w:tc>
            </w:tr>
            <w:tr w14:paraId="7C50453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81" w:type="dxa"/>
                  <w:tcBorders>
                    <w:top w:val="single" w:color="auto" w:sz="4" w:space="0"/>
                    <w:bottom w:val="single" w:color="auto" w:sz="12" w:space="0"/>
                    <w:right w:val="single" w:color="auto" w:sz="4" w:space="0"/>
                  </w:tcBorders>
                  <w:noWrap w:val="0"/>
                  <w:vAlign w:val="center"/>
                </w:tcPr>
                <w:p w14:paraId="1B7768E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c>
                <w:tcPr>
                  <w:tcW w:w="1930" w:type="dxa"/>
                  <w:tcBorders>
                    <w:top w:val="single" w:color="auto" w:sz="4" w:space="0"/>
                    <w:left w:val="single" w:color="auto" w:sz="4" w:space="0"/>
                    <w:bottom w:val="single" w:color="auto" w:sz="12" w:space="0"/>
                    <w:right w:val="single" w:color="auto" w:sz="4" w:space="0"/>
                  </w:tcBorders>
                  <w:noWrap w:val="0"/>
                  <w:vAlign w:val="center"/>
                </w:tcPr>
                <w:p w14:paraId="00D11A7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等效连续A声级</w:t>
                  </w:r>
                </w:p>
              </w:tc>
              <w:tc>
                <w:tcPr>
                  <w:tcW w:w="2524" w:type="dxa"/>
                  <w:tcBorders>
                    <w:top w:val="single" w:color="auto" w:sz="4" w:space="0"/>
                    <w:left w:val="single" w:color="auto" w:sz="4" w:space="0"/>
                    <w:bottom w:val="single" w:color="auto" w:sz="12" w:space="0"/>
                    <w:right w:val="single" w:color="auto" w:sz="4" w:space="0"/>
                  </w:tcBorders>
                  <w:noWrap w:val="0"/>
                  <w:vAlign w:val="center"/>
                </w:tcPr>
                <w:p w14:paraId="21D2040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委托有资质</w:t>
                  </w:r>
                  <w:r>
                    <w:rPr>
                      <w:rFonts w:hint="eastAsia" w:ascii="Times New Roman" w:hAnsi="Times New Roman" w:cs="Times New Roman"/>
                      <w:color w:val="auto"/>
                      <w:sz w:val="18"/>
                      <w:szCs w:val="18"/>
                      <w:lang w:eastAsia="zh-CN"/>
                    </w:rPr>
                    <w:t>的</w:t>
                  </w:r>
                  <w:r>
                    <w:rPr>
                      <w:rFonts w:hint="default" w:ascii="Times New Roman" w:hAnsi="Times New Roman" w:cs="Times New Roman"/>
                      <w:color w:val="auto"/>
                      <w:sz w:val="18"/>
                      <w:szCs w:val="18"/>
                    </w:rPr>
                    <w:t>监测单位</w:t>
                  </w:r>
                </w:p>
              </w:tc>
              <w:tc>
                <w:tcPr>
                  <w:tcW w:w="1332" w:type="dxa"/>
                  <w:tcBorders>
                    <w:top w:val="single" w:color="auto" w:sz="4" w:space="0"/>
                    <w:left w:val="single" w:color="auto" w:sz="4" w:space="0"/>
                    <w:bottom w:val="single" w:color="auto" w:sz="12" w:space="0"/>
                    <w:right w:val="single" w:color="auto" w:sz="4" w:space="0"/>
                  </w:tcBorders>
                  <w:noWrap w:val="0"/>
                  <w:vAlign w:val="center"/>
                </w:tcPr>
                <w:p w14:paraId="1724E2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000000"/>
                      <w:sz w:val="18"/>
                      <w:szCs w:val="18"/>
                    </w:rPr>
                    <w:t>每</w:t>
                  </w:r>
                  <w:r>
                    <w:rPr>
                      <w:rFonts w:hint="default" w:ascii="Times New Roman" w:hAnsi="Times New Roman" w:eastAsia="宋体" w:cs="Times New Roman"/>
                      <w:color w:val="000000"/>
                      <w:sz w:val="18"/>
                      <w:szCs w:val="18"/>
                      <w:lang w:eastAsia="zh-CN"/>
                    </w:rPr>
                    <w:t>季度</w:t>
                  </w:r>
                  <w:r>
                    <w:rPr>
                      <w:rFonts w:hint="default" w:ascii="Times New Roman" w:hAnsi="Times New Roman" w:eastAsia="宋体" w:cs="Times New Roman"/>
                      <w:color w:val="000000"/>
                      <w:sz w:val="18"/>
                      <w:szCs w:val="18"/>
                    </w:rPr>
                    <w:t>一次</w:t>
                  </w:r>
                </w:p>
              </w:tc>
              <w:tc>
                <w:tcPr>
                  <w:tcW w:w="2551" w:type="dxa"/>
                  <w:tcBorders>
                    <w:top w:val="single" w:color="auto" w:sz="4" w:space="0"/>
                    <w:left w:val="single" w:color="auto" w:sz="4" w:space="0"/>
                    <w:bottom w:val="single" w:color="auto" w:sz="12" w:space="0"/>
                  </w:tcBorders>
                  <w:noWrap w:val="0"/>
                  <w:vAlign w:val="center"/>
                </w:tcPr>
                <w:p w14:paraId="25F1DA55">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项目厂界四侧</w:t>
                  </w:r>
                </w:p>
              </w:tc>
            </w:tr>
          </w:tbl>
          <w:p w14:paraId="3E2FC574">
            <w:pPr>
              <w:pStyle w:val="23"/>
              <w:spacing w:line="360" w:lineRule="auto"/>
              <w:ind w:firstLine="452" w:firstLineChars="200"/>
              <w:jc w:val="both"/>
              <w:rPr>
                <w:rFonts w:hint="default" w:ascii="Times New Roman" w:hAnsi="Times New Roman" w:cs="Times New Roman"/>
                <w:spacing w:val="-7"/>
                <w:sz w:val="24"/>
              </w:rPr>
            </w:pPr>
          </w:p>
        </w:tc>
      </w:tr>
      <w:tr w14:paraId="1170C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1" w:hRule="atLeast"/>
          <w:jc w:val="center"/>
        </w:trPr>
        <w:tc>
          <w:tcPr>
            <w:tcW w:w="5000" w:type="pct"/>
            <w:noWrap w:val="0"/>
            <w:vAlign w:val="top"/>
          </w:tcPr>
          <w:p w14:paraId="2FD9A91C">
            <w:pPr>
              <w:pStyle w:val="23"/>
              <w:spacing w:line="360" w:lineRule="auto"/>
              <w:jc w:val="both"/>
              <w:rPr>
                <w:rFonts w:hint="default" w:ascii="Times New Roman" w:hAnsi="Times New Roman" w:cs="Times New Roman"/>
                <w:b/>
                <w:sz w:val="28"/>
              </w:rPr>
            </w:pPr>
            <w:r>
              <w:rPr>
                <w:rFonts w:hint="default" w:ascii="Times New Roman" w:hAnsi="Times New Roman" w:cs="Times New Roman"/>
                <w:b/>
                <w:sz w:val="28"/>
              </w:rPr>
              <w:t>环境管理状况分析及建议</w:t>
            </w:r>
          </w:p>
          <w:p w14:paraId="7317DD78">
            <w:pPr>
              <w:pStyle w:val="23"/>
              <w:spacing w:line="360" w:lineRule="auto"/>
              <w:ind w:firstLine="480" w:firstLineChars="200"/>
              <w:jc w:val="both"/>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经过调查核实，施工期及运营期环境管理状况较好，认真落实了环境影响报告表及其批复提出的环保措施，未引起环境问题及纠纷。</w:t>
            </w:r>
          </w:p>
          <w:p w14:paraId="7033DD43">
            <w:pPr>
              <w:pStyle w:val="23"/>
              <w:spacing w:line="360" w:lineRule="auto"/>
              <w:ind w:firstLine="480" w:firstLineChars="200"/>
              <w:jc w:val="both"/>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建议：</w:t>
            </w:r>
          </w:p>
          <w:p w14:paraId="1BAF996E">
            <w:pPr>
              <w:pStyle w:val="23"/>
              <w:spacing w:line="360" w:lineRule="auto"/>
              <w:ind w:firstLine="480" w:firstLineChars="200"/>
              <w:jc w:val="both"/>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1、进一步加强环境保护工作，确保环境保护工作的有效性；</w:t>
            </w:r>
          </w:p>
          <w:p w14:paraId="5DB46179">
            <w:pPr>
              <w:pStyle w:val="23"/>
              <w:spacing w:line="360" w:lineRule="auto"/>
              <w:ind w:firstLine="480" w:firstLineChars="200"/>
              <w:jc w:val="both"/>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2、加强</w:t>
            </w:r>
            <w:r>
              <w:rPr>
                <w:rFonts w:hint="default" w:ascii="Times New Roman" w:hAnsi="Times New Roman" w:eastAsia="宋体" w:cs="Times New Roman"/>
                <w:color w:val="000000"/>
                <w:kern w:val="0"/>
                <w:sz w:val="24"/>
                <w:lang w:eastAsia="zh-CN"/>
              </w:rPr>
              <w:t>项目</w:t>
            </w:r>
            <w:r>
              <w:rPr>
                <w:rFonts w:hint="default" w:ascii="Times New Roman" w:hAnsi="Times New Roman" w:eastAsia="宋体" w:cs="Times New Roman"/>
                <w:color w:val="000000"/>
                <w:kern w:val="0"/>
                <w:sz w:val="24"/>
                <w:lang w:val="en-US" w:eastAsia="zh-CN"/>
              </w:rPr>
              <w:t>环保设施</w:t>
            </w:r>
            <w:r>
              <w:rPr>
                <w:rFonts w:hint="default" w:ascii="Times New Roman" w:hAnsi="Times New Roman" w:eastAsia="宋体" w:cs="Times New Roman"/>
                <w:color w:val="000000"/>
                <w:kern w:val="0"/>
                <w:sz w:val="24"/>
              </w:rPr>
              <w:t>的日常管理和维护，定期进行巡检和</w:t>
            </w:r>
            <w:r>
              <w:rPr>
                <w:rFonts w:hint="default" w:ascii="Times New Roman" w:hAnsi="Times New Roman" w:eastAsia="宋体" w:cs="Times New Roman"/>
                <w:color w:val="000000"/>
                <w:kern w:val="0"/>
                <w:sz w:val="24"/>
                <w:lang w:val="en-US" w:eastAsia="zh-CN"/>
              </w:rPr>
              <w:t>维修保养</w:t>
            </w:r>
            <w:r>
              <w:rPr>
                <w:rFonts w:hint="default" w:ascii="Times New Roman" w:hAnsi="Times New Roman" w:eastAsia="宋体" w:cs="Times New Roman"/>
                <w:color w:val="000000"/>
                <w:kern w:val="0"/>
                <w:sz w:val="24"/>
              </w:rPr>
              <w:t>。</w:t>
            </w:r>
          </w:p>
          <w:p w14:paraId="6CE0FE31">
            <w:pPr>
              <w:pStyle w:val="23"/>
              <w:spacing w:line="360" w:lineRule="auto"/>
              <w:ind w:firstLine="480" w:firstLineChars="200"/>
              <w:jc w:val="both"/>
              <w:rPr>
                <w:rFonts w:hint="default" w:ascii="Times New Roman" w:hAnsi="Times New Roman" w:eastAsia="宋体" w:cs="Times New Roman"/>
                <w:color w:val="000000"/>
                <w:kern w:val="0"/>
                <w:sz w:val="24"/>
                <w:lang w:val="en-US" w:eastAsia="zh-CN"/>
              </w:rPr>
            </w:pPr>
            <w:r>
              <w:rPr>
                <w:rFonts w:hint="default" w:ascii="Times New Roman" w:hAnsi="Times New Roman" w:eastAsia="宋体" w:cs="Times New Roman"/>
                <w:color w:val="000000"/>
                <w:kern w:val="0"/>
                <w:sz w:val="24"/>
                <w:lang w:val="en-US" w:eastAsia="zh-CN"/>
              </w:rPr>
              <w:t>3、</w:t>
            </w:r>
            <w:r>
              <w:rPr>
                <w:rFonts w:hint="default" w:ascii="Times New Roman" w:hAnsi="Times New Roman" w:eastAsia="宋体" w:cs="Times New Roman"/>
                <w:color w:val="000000"/>
                <w:kern w:val="0"/>
                <w:sz w:val="24"/>
              </w:rPr>
              <w:t>将环境保护工作纳入日常工作，进行常态化管理，对生态</w:t>
            </w:r>
            <w:r>
              <w:rPr>
                <w:rFonts w:hint="default" w:ascii="Times New Roman" w:hAnsi="Times New Roman" w:eastAsia="宋体" w:cs="Times New Roman"/>
                <w:color w:val="000000"/>
                <w:kern w:val="0"/>
                <w:sz w:val="24"/>
                <w:lang w:val="en-US" w:eastAsia="zh-CN"/>
              </w:rPr>
              <w:t>环境</w:t>
            </w:r>
            <w:r>
              <w:rPr>
                <w:rFonts w:hint="default" w:ascii="Times New Roman" w:hAnsi="Times New Roman" w:eastAsia="宋体" w:cs="Times New Roman"/>
                <w:color w:val="000000"/>
                <w:kern w:val="0"/>
                <w:sz w:val="24"/>
              </w:rPr>
              <w:t>系统恢复情况进行持续跟踪，对</w:t>
            </w:r>
            <w:r>
              <w:rPr>
                <w:rFonts w:hint="default" w:ascii="Times New Roman" w:hAnsi="Times New Roman" w:eastAsia="宋体" w:cs="Times New Roman"/>
                <w:color w:val="000000"/>
                <w:kern w:val="0"/>
                <w:sz w:val="24"/>
                <w:lang w:val="en-US" w:eastAsia="zh-CN"/>
              </w:rPr>
              <w:t>开采结束区域进行复垦和植被恢复</w:t>
            </w:r>
            <w:r>
              <w:rPr>
                <w:rFonts w:hint="default" w:ascii="Times New Roman" w:hAnsi="Times New Roman" w:eastAsia="宋体" w:cs="Times New Roman"/>
                <w:color w:val="000000"/>
                <w:kern w:val="0"/>
                <w:sz w:val="24"/>
              </w:rPr>
              <w:t>，建立并完善环境保护管理档案。</w:t>
            </w:r>
          </w:p>
          <w:p w14:paraId="7B0EE8BF">
            <w:pPr>
              <w:pStyle w:val="23"/>
              <w:spacing w:before="2" w:line="360" w:lineRule="auto"/>
              <w:jc w:val="both"/>
              <w:rPr>
                <w:rFonts w:hint="eastAsia" w:ascii="Times New Roman" w:hAnsi="Times New Roman" w:eastAsia="宋体" w:cs="Times New Roman"/>
                <w:sz w:val="24"/>
                <w:lang w:eastAsia="zh-CN"/>
              </w:rPr>
            </w:pPr>
          </w:p>
          <w:p w14:paraId="03B26E4A">
            <w:pPr>
              <w:pStyle w:val="23"/>
              <w:spacing w:before="2" w:line="360" w:lineRule="auto"/>
              <w:jc w:val="both"/>
              <w:rPr>
                <w:rFonts w:hint="eastAsia" w:ascii="Times New Roman" w:hAnsi="Times New Roman" w:eastAsia="宋体" w:cs="Times New Roman"/>
                <w:sz w:val="24"/>
                <w:lang w:eastAsia="zh-CN"/>
              </w:rPr>
            </w:pPr>
          </w:p>
        </w:tc>
      </w:tr>
    </w:tbl>
    <w:p w14:paraId="2137AAEB">
      <w:pPr>
        <w:pStyle w:val="3"/>
        <w:ind w:left="0" w:leftChars="0" w:firstLine="0" w:firstLineChars="0"/>
        <w:outlineLvl w:val="0"/>
        <w:rPr>
          <w:rFonts w:hint="default" w:ascii="Times New Roman" w:hAnsi="Times New Roman" w:eastAsia="宋体" w:cs="Times New Roman"/>
        </w:rPr>
        <w:sectPr>
          <w:footerReference r:id="rId13" w:type="default"/>
          <w:pgSz w:w="11911" w:h="16838"/>
          <w:pgMar w:top="1440" w:right="1361" w:bottom="1440" w:left="1361" w:header="964" w:footer="918" w:gutter="0"/>
          <w:pgBorders>
            <w:top w:val="none" w:sz="0" w:space="0"/>
            <w:left w:val="none" w:sz="0" w:space="0"/>
            <w:bottom w:val="none" w:sz="0" w:space="0"/>
            <w:right w:val="none" w:sz="0" w:space="0"/>
          </w:pgBorders>
          <w:pgNumType w:fmt="decimal"/>
          <w:cols w:space="720" w:num="1"/>
          <w:rtlGutter w:val="0"/>
          <w:docGrid w:linePitch="299" w:charSpace="0"/>
        </w:sectPr>
      </w:pPr>
    </w:p>
    <w:p w14:paraId="6D508927">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kern w:val="0"/>
          <w:sz w:val="32"/>
          <w:szCs w:val="56"/>
          <w:lang w:val="en-US" w:bidi="ar-SA"/>
        </w:rPr>
      </w:pPr>
      <w:bookmarkStart w:id="39" w:name="_Toc30750"/>
      <w:bookmarkStart w:id="40" w:name="_Toc30601"/>
      <w:r>
        <w:rPr>
          <w:rFonts w:hint="default" w:ascii="Times New Roman" w:hAnsi="Times New Roman" w:eastAsia="宋体" w:cs="Times New Roman"/>
          <w:b/>
          <w:bCs/>
          <w:kern w:val="0"/>
          <w:sz w:val="32"/>
          <w:szCs w:val="56"/>
          <w:lang w:val="en-US" w:bidi="ar-SA"/>
        </w:rPr>
        <w:t xml:space="preserve">表10 </w:t>
      </w:r>
      <w:r>
        <w:rPr>
          <w:rFonts w:hint="default" w:ascii="Times New Roman" w:hAnsi="Times New Roman" w:eastAsia="宋体" w:cs="Times New Roman"/>
          <w:b/>
          <w:bCs/>
          <w:kern w:val="0"/>
          <w:sz w:val="32"/>
          <w:szCs w:val="56"/>
          <w:lang w:val="en-US" w:eastAsia="zh-CN" w:bidi="ar-SA"/>
        </w:rPr>
        <w:t xml:space="preserve"> </w:t>
      </w:r>
      <w:r>
        <w:rPr>
          <w:rFonts w:hint="default" w:ascii="Times New Roman" w:hAnsi="Times New Roman" w:eastAsia="宋体" w:cs="Times New Roman"/>
          <w:b/>
          <w:bCs/>
          <w:kern w:val="0"/>
          <w:sz w:val="32"/>
          <w:szCs w:val="56"/>
          <w:lang w:val="en-US" w:bidi="ar-SA"/>
        </w:rPr>
        <w:t>调查结论与建议</w:t>
      </w:r>
      <w:bookmarkEnd w:id="39"/>
      <w:bookmarkEnd w:id="40"/>
    </w:p>
    <w:tbl>
      <w:tblPr>
        <w:tblStyle w:val="17"/>
        <w:tblW w:w="52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582"/>
      </w:tblGrid>
      <w:tr w14:paraId="62CBC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000" w:type="pct"/>
            <w:noWrap w:val="0"/>
            <w:vAlign w:val="top"/>
          </w:tcPr>
          <w:p w14:paraId="0F545ADB">
            <w:pPr>
              <w:pStyle w:val="23"/>
              <w:spacing w:line="360" w:lineRule="auto"/>
              <w:rPr>
                <w:rFonts w:hint="default" w:ascii="Times New Roman" w:hAnsi="Times New Roman" w:cs="Times New Roman"/>
                <w:b/>
                <w:sz w:val="28"/>
              </w:rPr>
            </w:pPr>
            <w:r>
              <w:rPr>
                <w:rFonts w:hint="default" w:ascii="Times New Roman" w:hAnsi="Times New Roman" w:cs="Times New Roman"/>
                <w:b/>
                <w:sz w:val="28"/>
              </w:rPr>
              <w:t>一、调查结论</w:t>
            </w:r>
          </w:p>
          <w:p w14:paraId="7DC5D33D">
            <w:pPr>
              <w:pStyle w:val="23"/>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根据</w:t>
            </w:r>
            <w:r>
              <w:rPr>
                <w:rFonts w:hint="default" w:ascii="Times New Roman" w:hAnsi="Times New Roman" w:cs="Times New Roman"/>
                <w:sz w:val="24"/>
                <w:szCs w:val="24"/>
                <w:lang w:eastAsia="zh-CN"/>
              </w:rPr>
              <w:t>本</w:t>
            </w:r>
            <w:r>
              <w:rPr>
                <w:rFonts w:hint="default" w:ascii="Times New Roman" w:hAnsi="Times New Roman" w:cs="Times New Roman"/>
                <w:bCs/>
                <w:sz w:val="24"/>
                <w:lang w:val="en-US" w:eastAsia="zh-CN"/>
              </w:rPr>
              <w:t>项目</w:t>
            </w:r>
            <w:r>
              <w:rPr>
                <w:rFonts w:hint="default" w:ascii="Times New Roman" w:hAnsi="Times New Roman" w:cs="Times New Roman"/>
                <w:sz w:val="24"/>
                <w:szCs w:val="24"/>
              </w:rPr>
              <w:t>竣工环境保护验收调查结果与分析，提出如下结论与建议。</w:t>
            </w:r>
          </w:p>
          <w:p w14:paraId="1BE0B8D5">
            <w:pPr>
              <w:pStyle w:val="4"/>
              <w:spacing w:before="0" w:line="360" w:lineRule="auto"/>
              <w:ind w:left="0" w:firstLine="482" w:firstLineChars="200"/>
              <w:rPr>
                <w:rFonts w:hint="default" w:ascii="Times New Roman" w:hAnsi="Times New Roman" w:cs="Times New Roman"/>
              </w:rPr>
            </w:pPr>
            <w:r>
              <w:rPr>
                <w:rFonts w:hint="default" w:ascii="Times New Roman" w:hAnsi="Times New Roman" w:cs="Times New Roman"/>
              </w:rPr>
              <w:t>1、工程概况</w:t>
            </w:r>
          </w:p>
          <w:p w14:paraId="04056BB6">
            <w:pPr>
              <w:pStyle w:val="23"/>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b w:val="0"/>
                <w:bCs w:val="0"/>
                <w:color w:val="auto"/>
                <w:sz w:val="24"/>
                <w:szCs w:val="24"/>
                <w:lang w:val="en-US" w:eastAsia="zh-CN"/>
              </w:rPr>
              <w:t>项目矿区采矿</w:t>
            </w:r>
            <w:r>
              <w:rPr>
                <w:rFonts w:hint="eastAsia"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权出让面</w:t>
            </w:r>
            <w:r>
              <w:rPr>
                <w:rFonts w:hint="default" w:cs="Times New Roman"/>
                <w:color w:val="000000"/>
                <w:kern w:val="0"/>
                <w:sz w:val="24"/>
                <w:szCs w:val="24"/>
                <w:lang w:val="en-US" w:eastAsia="zh-CN" w:bidi="ar"/>
              </w:rPr>
              <w:t>积1.5033k</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，产品方案为</w:t>
            </w:r>
            <w:r>
              <w:rPr>
                <w:rFonts w:hint="default" w:ascii="Times New Roman" w:hAnsi="Times New Roman" w:eastAsia="宋体" w:cs="Times New Roman"/>
                <w:color w:val="000000"/>
                <w:kern w:val="0"/>
                <w:sz w:val="24"/>
                <w:szCs w:val="24"/>
                <w:highlight w:val="none"/>
                <w:lang w:val="en-US" w:eastAsia="zh-CN" w:bidi="ar"/>
              </w:rPr>
              <w:t>饰面用花岗岩</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开采规模</w:t>
            </w:r>
            <w:r>
              <w:rPr>
                <w:rFonts w:hint="eastAsia" w:cs="Times New Roman"/>
                <w:color w:val="000000"/>
                <w:kern w:val="0"/>
                <w:sz w:val="24"/>
                <w:szCs w:val="24"/>
                <w:lang w:val="en-US" w:eastAsia="zh-CN" w:bidi="ar"/>
              </w:rPr>
              <w:t>23万立方米</w:t>
            </w:r>
            <w:r>
              <w:rPr>
                <w:rFonts w:hint="default" w:ascii="Times New Roman" w:hAnsi="Times New Roman" w:eastAsia="宋体" w:cs="Times New Roman"/>
                <w:color w:val="000000"/>
                <w:kern w:val="0"/>
                <w:sz w:val="24"/>
                <w:szCs w:val="24"/>
                <w:lang w:val="en-US" w:eastAsia="zh-CN" w:bidi="ar"/>
              </w:rPr>
              <w:t>/年</w:t>
            </w:r>
            <w:r>
              <w:rPr>
                <w:rFonts w:hint="default" w:ascii="Times New Roman" w:hAnsi="Times New Roman" w:eastAsia="宋体" w:cs="Times New Roman"/>
                <w:b w:val="0"/>
                <w:bCs w:val="0"/>
                <w:color w:val="auto"/>
                <w:sz w:val="24"/>
                <w:szCs w:val="24"/>
                <w:lang w:val="en-US" w:eastAsia="zh-CN"/>
              </w:rPr>
              <w:t>。开采方式为露天开采，</w:t>
            </w:r>
            <w:r>
              <w:rPr>
                <w:rFonts w:hint="default" w:ascii="Times New Roman" w:hAnsi="Times New Roman" w:cs="Times New Roman"/>
                <w:color w:val="000000"/>
                <w:sz w:val="24"/>
                <w:lang w:val="en-US" w:eastAsia="zh-CN"/>
              </w:rPr>
              <w:t>其主体工程包括露天采场、办公生活区、矿区道路、供配电系统、供水系统及环保工程等</w:t>
            </w:r>
            <w:r>
              <w:rPr>
                <w:rFonts w:hint="eastAsia" w:cs="Times New Roman"/>
                <w:color w:val="000000"/>
                <w:sz w:val="24"/>
                <w:lang w:val="en-US" w:eastAsia="zh-CN"/>
              </w:rPr>
              <w:t>。</w:t>
            </w:r>
          </w:p>
          <w:p w14:paraId="7BDAD9C1">
            <w:pPr>
              <w:pStyle w:val="4"/>
              <w:spacing w:before="0" w:line="360" w:lineRule="auto"/>
              <w:ind w:left="0" w:firstLine="482" w:firstLineChars="200"/>
              <w:rPr>
                <w:rFonts w:hint="default" w:ascii="Times New Roman" w:hAnsi="Times New Roman" w:eastAsia="宋体" w:cs="Times New Roman"/>
                <w:lang w:eastAsia="zh-CN"/>
              </w:rPr>
            </w:pPr>
            <w:r>
              <w:rPr>
                <w:rFonts w:hint="default" w:ascii="Times New Roman" w:hAnsi="Times New Roman" w:cs="Times New Roman"/>
              </w:rPr>
              <w:t>2、</w:t>
            </w:r>
            <w:r>
              <w:rPr>
                <w:rFonts w:hint="default" w:ascii="Times New Roman" w:hAnsi="Times New Roman" w:cs="Times New Roman"/>
                <w:lang w:eastAsia="zh-CN"/>
              </w:rPr>
              <w:t>环境空气影响调查结论</w:t>
            </w:r>
          </w:p>
          <w:p w14:paraId="5A8ECDE4">
            <w:pPr>
              <w:pStyle w:val="4"/>
              <w:spacing w:before="0" w:line="360" w:lineRule="auto"/>
              <w:ind w:left="0" w:firstLine="480" w:firstLineChars="200"/>
              <w:rPr>
                <w:rFonts w:hint="default" w:ascii="Times New Roman" w:hAnsi="Times New Roman" w:eastAsia="宋体" w:cs="Times New Roman"/>
                <w:b w:val="0"/>
                <w:bCs w:val="0"/>
                <w:sz w:val="24"/>
                <w:szCs w:val="24"/>
                <w:lang w:val="en-US" w:eastAsia="zh-CN" w:bidi="zh-CN"/>
              </w:rPr>
            </w:pPr>
            <w:r>
              <w:rPr>
                <w:rFonts w:hint="eastAsia" w:ascii="Times New Roman" w:hAnsi="Times New Roman" w:eastAsia="宋体" w:cs="Times New Roman"/>
                <w:b w:val="0"/>
                <w:bCs w:val="0"/>
                <w:sz w:val="24"/>
                <w:szCs w:val="24"/>
                <w:lang w:val="en-US" w:eastAsia="zh-CN" w:bidi="zh-CN"/>
              </w:rPr>
              <w:t>施工期</w:t>
            </w:r>
            <w:r>
              <w:rPr>
                <w:rFonts w:hint="default" w:ascii="Times New Roman" w:hAnsi="Times New Roman" w:eastAsia="宋体" w:cs="Times New Roman"/>
                <w:b w:val="0"/>
                <w:bCs w:val="0"/>
                <w:sz w:val="24"/>
                <w:szCs w:val="24"/>
                <w:lang w:val="en-US" w:eastAsia="zh-CN" w:bidi="zh-CN"/>
              </w:rPr>
              <w:t>项目施工过程中施工现场及运输道路洒水抑尘，运输车辆采用篷布遮盖，设置洗车槽对车辆轮胎进行清洗等来降低废气对环境的影响，并随施工期的结束而消失。</w:t>
            </w:r>
          </w:p>
          <w:p w14:paraId="2EA7ABAE">
            <w:pPr>
              <w:pStyle w:val="4"/>
              <w:spacing w:before="0" w:line="360" w:lineRule="auto"/>
              <w:ind w:left="0" w:firstLine="480" w:firstLineChars="200"/>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项目生产过程中产生的废气有切割分离粉尘、装卸扬尘、运输扬尘、动力机械燃油尾气、食堂油烟，现采取的防治措施如下：①切割分离粉尘：采取湿法切割，同时采取洒水降尘；②剥离粉尘、装卸扬尘、运输扬尘：采取洒水降尘；③食堂油烟：采取油烟净化装置进行处理后通过油烟管道引至屋顶排放</w:t>
            </w:r>
            <w:r>
              <w:rPr>
                <w:rFonts w:hint="eastAsia" w:cs="Times New Roman"/>
                <w:b w:val="0"/>
                <w:bCs w:val="0"/>
                <w:sz w:val="24"/>
                <w:szCs w:val="24"/>
                <w:lang w:val="en-US" w:eastAsia="zh-CN" w:bidi="zh-CN"/>
              </w:rPr>
              <w:t>。</w:t>
            </w:r>
          </w:p>
          <w:p w14:paraId="442EA8B8">
            <w:pPr>
              <w:pStyle w:val="23"/>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rPr>
              <w:t>验收调查期间，</w:t>
            </w:r>
            <w:r>
              <w:rPr>
                <w:rFonts w:hint="eastAsia" w:ascii="Times New Roman" w:hAnsi="Times New Roman" w:cs="Times New Roman"/>
                <w:sz w:val="24"/>
                <w:szCs w:val="24"/>
                <w:lang w:val="en-US" w:eastAsia="zh-CN"/>
              </w:rPr>
              <w:t>无</w:t>
            </w:r>
            <w:r>
              <w:rPr>
                <w:rFonts w:hint="default" w:ascii="Times New Roman" w:hAnsi="Times New Roman" w:cs="Times New Roman"/>
                <w:sz w:val="24"/>
                <w:szCs w:val="24"/>
              </w:rPr>
              <w:t>附近居民关于环境污染的</w:t>
            </w:r>
            <w:r>
              <w:rPr>
                <w:rFonts w:hint="default" w:ascii="Times New Roman" w:hAnsi="Times New Roman" w:cs="Times New Roman"/>
                <w:sz w:val="24"/>
                <w:szCs w:val="24"/>
                <w:lang w:val="en-US" w:eastAsia="zh-CN"/>
              </w:rPr>
              <w:t>投诉</w:t>
            </w:r>
            <w:r>
              <w:rPr>
                <w:rFonts w:hint="default" w:ascii="Times New Roman" w:hAnsi="Times New Roman" w:cs="Times New Roman"/>
                <w:sz w:val="24"/>
                <w:szCs w:val="24"/>
              </w:rPr>
              <w:t>。</w:t>
            </w:r>
          </w:p>
          <w:p w14:paraId="2BB06F49">
            <w:pPr>
              <w:pStyle w:val="4"/>
              <w:spacing w:before="0" w:line="360" w:lineRule="auto"/>
              <w:ind w:left="0" w:firstLine="482" w:firstLineChars="20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、水环境影响调查结论</w:t>
            </w:r>
          </w:p>
          <w:p w14:paraId="19FD3C6F">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color w:val="auto"/>
                <w:sz w:val="24"/>
              </w:rPr>
              <w:t>施工期</w:t>
            </w:r>
            <w:r>
              <w:rPr>
                <w:rFonts w:hint="default" w:ascii="Times New Roman" w:hAnsi="Times New Roman" w:cs="Times New Roman"/>
                <w:color w:val="auto"/>
                <w:sz w:val="24"/>
                <w:lang w:val="en-US" w:eastAsia="zh-CN"/>
              </w:rPr>
              <w:t>施工废水经沉淀池处理后回用</w:t>
            </w:r>
            <w:r>
              <w:rPr>
                <w:rFonts w:hint="default" w:ascii="Times New Roman" w:hAnsi="Times New Roman" w:cs="Times New Roman"/>
                <w:color w:val="auto"/>
                <w:sz w:val="24"/>
                <w:lang w:eastAsia="zh-CN"/>
              </w:rPr>
              <w:t>；</w:t>
            </w:r>
            <w:r>
              <w:rPr>
                <w:rFonts w:hint="default" w:ascii="Times New Roman" w:hAnsi="Times New Roman" w:cs="Times New Roman"/>
                <w:sz w:val="24"/>
                <w:szCs w:val="24"/>
              </w:rPr>
              <w:t>施工期生活污水经</w:t>
            </w:r>
            <w:r>
              <w:rPr>
                <w:rFonts w:hint="eastAsia" w:ascii="Times New Roman" w:hAnsi="Times New Roman" w:cs="Times New Roman"/>
                <w:sz w:val="24"/>
                <w:szCs w:val="24"/>
                <w:lang w:val="en-US" w:eastAsia="zh-CN"/>
              </w:rPr>
              <w:t>一体化污水处理设备</w:t>
            </w:r>
            <w:r>
              <w:rPr>
                <w:rFonts w:hint="default" w:ascii="Times New Roman" w:hAnsi="Times New Roman" w:cs="Times New Roman"/>
                <w:sz w:val="24"/>
                <w:szCs w:val="24"/>
              </w:rPr>
              <w:t>处理后用于</w:t>
            </w:r>
            <w:r>
              <w:rPr>
                <w:rFonts w:hint="eastAsia" w:ascii="Times New Roman" w:hAnsi="Times New Roman" w:cs="Times New Roman"/>
                <w:sz w:val="24"/>
                <w:szCs w:val="24"/>
                <w:lang w:val="en-US" w:eastAsia="zh-CN"/>
              </w:rPr>
              <w:t>生产</w:t>
            </w:r>
            <w:r>
              <w:rPr>
                <w:rFonts w:hint="default" w:ascii="Times New Roman" w:hAnsi="Times New Roman" w:cs="Times New Roman"/>
                <w:sz w:val="24"/>
                <w:szCs w:val="24"/>
              </w:rPr>
              <w:t>，不外排。</w:t>
            </w:r>
          </w:p>
          <w:p w14:paraId="3B4E3586">
            <w:pPr>
              <w:pStyle w:val="23"/>
              <w:spacing w:line="360" w:lineRule="auto"/>
              <w:ind w:firstLine="480" w:firstLineChars="200"/>
              <w:jc w:val="both"/>
              <w:rPr>
                <w:rFonts w:hint="default" w:ascii="Times New Roman" w:hAnsi="Times New Roman" w:cs="Times New Roman"/>
                <w:sz w:val="24"/>
              </w:rPr>
            </w:pPr>
            <w:r>
              <w:rPr>
                <w:rFonts w:hint="eastAsia" w:cs="Times New Roman"/>
                <w:sz w:val="24"/>
                <w:lang w:val="en-US" w:eastAsia="zh-CN"/>
              </w:rPr>
              <w:t>运营期</w:t>
            </w:r>
            <w:r>
              <w:rPr>
                <w:rFonts w:hint="default" w:ascii="Times New Roman" w:hAnsi="Times New Roman" w:cs="Times New Roman"/>
                <w:sz w:val="24"/>
              </w:rPr>
              <w:t>生活污水经一体化污水处理设备处理后回用于生产。初期雨水和生产废水经截排水沟到沉淀池、雨水收集池、污水处理设备处理后回用。</w:t>
            </w:r>
          </w:p>
          <w:p w14:paraId="058FF0AD">
            <w:pPr>
              <w:pStyle w:val="23"/>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验收调查期间，我们询问了周边部分村民，村民表示项目在施工期和</w:t>
            </w:r>
            <w:r>
              <w:rPr>
                <w:rFonts w:hint="eastAsia" w:ascii="Times New Roman" w:hAnsi="Times New Roman" w:cs="Times New Roman"/>
                <w:sz w:val="24"/>
                <w:lang w:val="en-US" w:eastAsia="zh-CN"/>
              </w:rPr>
              <w:t>运营期</w:t>
            </w:r>
            <w:r>
              <w:rPr>
                <w:rFonts w:hint="default" w:ascii="Times New Roman" w:hAnsi="Times New Roman" w:cs="Times New Roman"/>
                <w:sz w:val="24"/>
              </w:rPr>
              <w:t>未造成水体污染现象，无扰民纠纷和投诉现象发生。</w:t>
            </w:r>
          </w:p>
          <w:p w14:paraId="27E1AEE1">
            <w:pPr>
              <w:pStyle w:val="4"/>
              <w:spacing w:before="0" w:line="360" w:lineRule="auto"/>
              <w:ind w:left="0" w:firstLine="482" w:firstLineChars="200"/>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、声环境影响调查结论</w:t>
            </w:r>
          </w:p>
          <w:p w14:paraId="206274C7">
            <w:pPr>
              <w:pStyle w:val="23"/>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施工期</w:t>
            </w:r>
            <w:r>
              <w:rPr>
                <w:rFonts w:hint="default" w:ascii="Times New Roman" w:hAnsi="Times New Roman" w:cs="Times New Roman"/>
                <w:sz w:val="24"/>
                <w:szCs w:val="24"/>
                <w:lang w:val="en-US" w:eastAsia="zh-CN"/>
              </w:rPr>
              <w:t>选用低噪声设备，对施工设备及时维护保养，确保正常运行，合理布局，同时禁止夜间施工，限制车速以及禁止鸣笛标识牌，加强运输车辆的检修等来降低噪声对周围环境的影响</w:t>
            </w:r>
            <w:r>
              <w:rPr>
                <w:rFonts w:hint="default" w:ascii="Times New Roman" w:hAnsi="Times New Roman" w:cs="Times New Roman"/>
                <w:sz w:val="24"/>
                <w:szCs w:val="24"/>
              </w:rPr>
              <w:t>。</w:t>
            </w:r>
          </w:p>
          <w:p w14:paraId="36FDE4A2">
            <w:pPr>
              <w:pStyle w:val="23"/>
              <w:spacing w:line="360" w:lineRule="auto"/>
              <w:ind w:firstLine="480" w:firstLineChars="200"/>
              <w:jc w:val="both"/>
              <w:rPr>
                <w:rFonts w:hint="default" w:ascii="Times New Roman" w:hAnsi="Times New Roman" w:cs="Times New Roman"/>
                <w:sz w:val="24"/>
                <w:szCs w:val="24"/>
              </w:rPr>
            </w:pPr>
            <w:r>
              <w:rPr>
                <w:rFonts w:hint="eastAsia" w:ascii="Times New Roman" w:hAnsi="Times New Roman" w:cs="Times New Roman"/>
                <w:sz w:val="24"/>
                <w:szCs w:val="24"/>
                <w:lang w:val="en-US" w:eastAsia="zh-CN"/>
              </w:rPr>
              <w:t>运营期</w:t>
            </w:r>
            <w:r>
              <w:rPr>
                <w:rFonts w:hint="default" w:ascii="Times New Roman" w:hAnsi="Times New Roman" w:cs="Times New Roman"/>
                <w:sz w:val="24"/>
                <w:szCs w:val="24"/>
                <w:lang w:val="en-US"/>
              </w:rPr>
              <w:t>噪声主要为</w:t>
            </w:r>
            <w:r>
              <w:rPr>
                <w:rFonts w:hint="default" w:ascii="Times New Roman" w:hAnsi="Times New Roman" w:cs="Times New Roman"/>
                <w:sz w:val="24"/>
                <w:szCs w:val="24"/>
                <w:lang w:val="en-US" w:eastAsia="zh-CN"/>
              </w:rPr>
              <w:t>机械设备噪声、运输车辆噪声。</w:t>
            </w:r>
            <w:r>
              <w:rPr>
                <w:rFonts w:hint="default" w:ascii="Times New Roman" w:hAnsi="Times New Roman" w:eastAsia="宋体" w:cs="Times New Roman"/>
                <w:sz w:val="24"/>
                <w:lang w:val="en-US" w:eastAsia="zh-CN"/>
              </w:rPr>
              <w:t>采取的措施主要包括：基础减震、绿化隔声等措施；配低音喇叭，合理安排工作时间。</w:t>
            </w:r>
          </w:p>
          <w:p w14:paraId="5170D2D3">
            <w:pPr>
              <w:pStyle w:val="23"/>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验收调查期间，</w:t>
            </w:r>
            <w:r>
              <w:rPr>
                <w:rFonts w:hint="default" w:ascii="Times New Roman" w:hAnsi="Times New Roman" w:cs="Times New Roman"/>
                <w:color w:val="auto"/>
                <w:sz w:val="24"/>
                <w:szCs w:val="24"/>
                <w:lang w:val="en-US" w:eastAsia="zh-CN"/>
              </w:rPr>
              <w:t>无</w:t>
            </w:r>
            <w:r>
              <w:rPr>
                <w:rFonts w:hint="default" w:ascii="Times New Roman" w:hAnsi="Times New Roman" w:cs="Times New Roman"/>
                <w:color w:val="auto"/>
                <w:sz w:val="24"/>
                <w:szCs w:val="24"/>
              </w:rPr>
              <w:t>附近居民关于环境污染的</w:t>
            </w:r>
            <w:r>
              <w:rPr>
                <w:rFonts w:hint="default" w:ascii="Times New Roman" w:hAnsi="Times New Roman" w:cs="Times New Roman"/>
                <w:color w:val="auto"/>
                <w:sz w:val="24"/>
                <w:szCs w:val="24"/>
                <w:lang w:val="en-US" w:eastAsia="zh-CN"/>
              </w:rPr>
              <w:t>投诉</w:t>
            </w:r>
            <w:r>
              <w:rPr>
                <w:rFonts w:hint="default" w:ascii="Times New Roman" w:hAnsi="Times New Roman" w:cs="Times New Roman"/>
                <w:color w:val="auto"/>
                <w:sz w:val="24"/>
                <w:szCs w:val="24"/>
              </w:rPr>
              <w:t>。</w:t>
            </w:r>
          </w:p>
          <w:p w14:paraId="56B8971B">
            <w:pPr>
              <w:pStyle w:val="23"/>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sz w:val="24"/>
                <w:szCs w:val="24"/>
                <w:lang w:val="en-US" w:eastAsia="zh-CN"/>
              </w:rPr>
              <w:t>监测结果表明：项目厂界昼间、夜间噪声均达到《工业企业厂界噪声排放标准》（GB12348-2008）中2类标准。</w:t>
            </w:r>
          </w:p>
          <w:p w14:paraId="11A81A7D">
            <w:pPr>
              <w:pStyle w:val="4"/>
              <w:spacing w:before="0" w:line="360" w:lineRule="auto"/>
              <w:ind w:left="0" w:firstLine="482" w:firstLineChars="200"/>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、固体废物污染环境调查结论</w:t>
            </w:r>
          </w:p>
          <w:p w14:paraId="57B76DE0">
            <w:pPr>
              <w:pStyle w:val="23"/>
              <w:spacing w:line="360" w:lineRule="auto"/>
              <w:ind w:firstLine="480" w:firstLineChars="200"/>
              <w:jc w:val="both"/>
              <w:rPr>
                <w:rFonts w:hint="eastAsia" w:ascii="Times New Roman" w:hAnsi="Times New Roman" w:cs="Times New Roman"/>
                <w:color w:val="auto"/>
                <w:sz w:val="24"/>
                <w:lang w:val="en-US" w:eastAsia="zh-CN"/>
              </w:rPr>
            </w:pPr>
            <w:r>
              <w:rPr>
                <w:rFonts w:hint="default" w:ascii="Times New Roman" w:hAnsi="Times New Roman" w:cs="Times New Roman"/>
                <w:color w:val="auto"/>
                <w:sz w:val="24"/>
              </w:rPr>
              <w:t>施工期</w:t>
            </w:r>
            <w:r>
              <w:rPr>
                <w:rFonts w:hint="default" w:ascii="Times New Roman" w:hAnsi="Times New Roman" w:eastAsia="宋体" w:cs="Times New Roman"/>
                <w:color w:val="auto"/>
                <w:sz w:val="24"/>
                <w:szCs w:val="24"/>
                <w:lang w:eastAsia="zh-CN"/>
              </w:rPr>
              <w:t>施工人员的生活垃圾定点堆放，定时清运至环卫部门指定的垃圾处理场或卫生填埋场统一处置；建筑垃圾尽量回用于其他建设工程，不可利用的与当地市容局渣土办联系外运；剥离表土及风化层及时利用自卸汽车运送至</w:t>
            </w:r>
            <w:r>
              <w:rPr>
                <w:rFonts w:hint="eastAsia" w:cs="Times New Roman"/>
                <w:color w:val="auto"/>
                <w:sz w:val="24"/>
                <w:szCs w:val="24"/>
                <w:lang w:val="en-US" w:eastAsia="zh-CN"/>
              </w:rPr>
              <w:t>制定</w:t>
            </w:r>
            <w:r>
              <w:rPr>
                <w:rFonts w:hint="default" w:ascii="Times New Roman" w:hAnsi="Times New Roman" w:eastAsia="宋体" w:cs="Times New Roman"/>
                <w:color w:val="auto"/>
                <w:sz w:val="24"/>
                <w:szCs w:val="24"/>
                <w:lang w:eastAsia="zh-CN"/>
              </w:rPr>
              <w:t>排土场进行综合利用</w:t>
            </w:r>
            <w:r>
              <w:rPr>
                <w:rFonts w:hint="eastAsia" w:cs="Times New Roman"/>
                <w:color w:val="auto"/>
                <w:sz w:val="24"/>
                <w:szCs w:val="24"/>
                <w:lang w:val="en-US" w:eastAsia="zh-CN"/>
              </w:rPr>
              <w:t>或用于复垦复绿</w:t>
            </w:r>
            <w:r>
              <w:rPr>
                <w:rFonts w:hint="default" w:ascii="Times New Roman" w:hAnsi="Times New Roman" w:eastAsia="宋体" w:cs="Times New Roman"/>
                <w:color w:val="auto"/>
                <w:sz w:val="24"/>
                <w:szCs w:val="24"/>
                <w:lang w:eastAsia="zh-CN"/>
              </w:rPr>
              <w:t>；对施工过程中余土应尽量加以利用或妥善处理，不随意堆放，尽量减少对地表植被的破坏，并及时进行恢复和补植</w:t>
            </w:r>
            <w:r>
              <w:rPr>
                <w:rFonts w:hint="eastAsia" w:ascii="Times New Roman" w:hAnsi="Times New Roman" w:cs="Times New Roman"/>
                <w:color w:val="auto"/>
                <w:sz w:val="24"/>
                <w:lang w:val="en-US" w:eastAsia="zh-CN"/>
              </w:rPr>
              <w:t>。</w:t>
            </w:r>
          </w:p>
          <w:p w14:paraId="2609C753">
            <w:pPr>
              <w:pStyle w:val="23"/>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lang w:eastAsia="zh-CN"/>
              </w:rPr>
              <w:t>运营期</w:t>
            </w:r>
            <w:r>
              <w:rPr>
                <w:rFonts w:hint="default" w:ascii="Times New Roman" w:hAnsi="Times New Roman" w:cs="Times New Roman"/>
                <w:sz w:val="24"/>
              </w:rPr>
              <w:t>固体废物主要</w:t>
            </w:r>
            <w:r>
              <w:rPr>
                <w:rFonts w:hint="default" w:ascii="Times New Roman" w:hAnsi="Times New Roman" w:cs="Times New Roman"/>
                <w:sz w:val="24"/>
                <w:lang w:eastAsia="zh-CN"/>
              </w:rPr>
              <w:t>为</w:t>
            </w:r>
            <w:r>
              <w:rPr>
                <w:rFonts w:hint="default" w:ascii="Times New Roman" w:hAnsi="Times New Roman" w:cs="Times New Roman"/>
                <w:sz w:val="24"/>
                <w:lang w:val="en-US" w:eastAsia="zh-CN"/>
              </w:rPr>
              <w:t>生活垃圾、剥离的表土和风化层、废料、含油废手套及废抹布、</w:t>
            </w:r>
            <w:r>
              <w:rPr>
                <w:rFonts w:hint="eastAsia" w:cs="Times New Roman"/>
                <w:sz w:val="24"/>
                <w:lang w:val="en-US" w:eastAsia="zh-CN"/>
              </w:rPr>
              <w:t>沉淀池污泥</w:t>
            </w:r>
            <w:r>
              <w:rPr>
                <w:rFonts w:hint="default" w:ascii="Times New Roman" w:hAnsi="Times New Roman" w:cs="Times New Roman"/>
                <w:sz w:val="24"/>
                <w:lang w:val="en-US" w:eastAsia="zh-CN"/>
              </w:rPr>
              <w:t>、废包装材料、废机油</w:t>
            </w:r>
            <w:r>
              <w:rPr>
                <w:rFonts w:hint="eastAsia" w:ascii="Times New Roman" w:hAnsi="Times New Roman" w:cs="Times New Roman"/>
                <w:sz w:val="24"/>
                <w:lang w:val="en-US" w:eastAsia="zh-CN"/>
              </w:rPr>
              <w:t>。</w:t>
            </w:r>
            <w:r>
              <w:rPr>
                <w:rFonts w:hint="default" w:ascii="Times New Roman" w:hAnsi="Times New Roman" w:eastAsia="宋体" w:cs="Times New Roman"/>
                <w:sz w:val="24"/>
                <w:lang w:val="en-US" w:eastAsia="zh-CN"/>
              </w:rPr>
              <w:t>生活垃圾交环卫部门处理</w:t>
            </w:r>
            <w:r>
              <w:rPr>
                <w:rFonts w:hint="eastAsia" w:ascii="Times New Roman" w:hAnsi="Times New Roman" w:eastAsia="宋体" w:cs="Times New Roman"/>
                <w:sz w:val="24"/>
                <w:lang w:val="en-US" w:eastAsia="zh-CN"/>
              </w:rPr>
              <w:t>；表土用于矿山开采及闭坑后复垦复绿；风化层、废料由山下碎石加工企业直接运输至建筑石料加工场地</w:t>
            </w:r>
            <w:r>
              <w:rPr>
                <w:rFonts w:hint="eastAsia" w:ascii="Times New Roman" w:hAnsi="Times New Roman" w:cs="Times New Roman"/>
                <w:sz w:val="24"/>
                <w:lang w:val="en-US" w:eastAsia="zh-CN"/>
              </w:rPr>
              <w:t>；</w:t>
            </w:r>
            <w:r>
              <w:rPr>
                <w:rFonts w:hint="eastAsia" w:cs="Times New Roman"/>
                <w:sz w:val="24"/>
                <w:lang w:val="en-US" w:eastAsia="zh-CN"/>
              </w:rPr>
              <w:t>沉淀池污泥</w:t>
            </w:r>
            <w:r>
              <w:rPr>
                <w:rFonts w:hint="eastAsia" w:ascii="Times New Roman" w:hAnsi="Times New Roman" w:cs="Times New Roman"/>
                <w:sz w:val="24"/>
                <w:lang w:val="en-US" w:eastAsia="zh-CN"/>
              </w:rPr>
              <w:t>压滤</w:t>
            </w:r>
            <w:r>
              <w:rPr>
                <w:rFonts w:hint="eastAsia" w:cs="Times New Roman"/>
                <w:sz w:val="24"/>
                <w:lang w:val="en-US" w:eastAsia="zh-CN"/>
              </w:rPr>
              <w:t>成</w:t>
            </w:r>
            <w:r>
              <w:rPr>
                <w:rFonts w:hint="eastAsia" w:ascii="Times New Roman" w:hAnsi="Times New Roman" w:cs="Times New Roman"/>
                <w:sz w:val="24"/>
                <w:lang w:val="en-US" w:eastAsia="zh-CN"/>
              </w:rPr>
              <w:t>泥饼后作为建筑材料外售；</w:t>
            </w:r>
            <w:r>
              <w:rPr>
                <w:rFonts w:hint="eastAsia" w:ascii="Times New Roman" w:hAnsi="Times New Roman" w:cs="Times New Roman"/>
                <w:sz w:val="24"/>
                <w:lang w:val="en-US" w:eastAsia="zh-CN"/>
              </w:rPr>
              <w:t>含油废手套及废抹布、</w:t>
            </w:r>
            <w:r>
              <w:rPr>
                <w:rFonts w:hint="eastAsia" w:ascii="Times New Roman" w:hAnsi="Times New Roman" w:cs="Times New Roman"/>
                <w:sz w:val="24"/>
                <w:lang w:val="en-US" w:eastAsia="zh-CN"/>
              </w:rPr>
              <w:t>废机油暂存于危废暂存间，交由有资质单位处置。</w:t>
            </w:r>
          </w:p>
          <w:p w14:paraId="51903A68">
            <w:pPr>
              <w:pStyle w:val="23"/>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b w:val="0"/>
                <w:bCs w:val="0"/>
                <w:sz w:val="24"/>
              </w:rPr>
              <w:t>验收调查期间，</w:t>
            </w:r>
            <w:r>
              <w:rPr>
                <w:rFonts w:hint="eastAsia" w:ascii="Times New Roman" w:hAnsi="Times New Roman" w:cs="Times New Roman"/>
                <w:b w:val="0"/>
                <w:bCs w:val="0"/>
                <w:sz w:val="24"/>
                <w:lang w:val="en-US" w:eastAsia="zh-CN"/>
              </w:rPr>
              <w:t>项目</w:t>
            </w:r>
            <w:r>
              <w:rPr>
                <w:rFonts w:hint="default" w:ascii="Times New Roman" w:hAnsi="Times New Roman" w:cs="Times New Roman"/>
                <w:b w:val="0"/>
                <w:bCs w:val="0"/>
                <w:sz w:val="24"/>
              </w:rPr>
              <w:t>落实了各项固体</w:t>
            </w:r>
            <w:r>
              <w:rPr>
                <w:rFonts w:hint="eastAsia" w:ascii="Times New Roman" w:hAnsi="Times New Roman" w:cs="Times New Roman"/>
                <w:b w:val="0"/>
                <w:bCs w:val="0"/>
                <w:sz w:val="24"/>
                <w:lang w:val="en-US" w:eastAsia="zh-CN"/>
              </w:rPr>
              <w:t>废物</w:t>
            </w:r>
            <w:r>
              <w:rPr>
                <w:rFonts w:hint="default" w:ascii="Times New Roman" w:hAnsi="Times New Roman" w:cs="Times New Roman"/>
                <w:b w:val="0"/>
                <w:bCs w:val="0"/>
                <w:sz w:val="24"/>
              </w:rPr>
              <w:t>处置措施，</w:t>
            </w:r>
            <w:r>
              <w:rPr>
                <w:rFonts w:hint="default" w:ascii="Times New Roman" w:hAnsi="Times New Roman" w:cs="Times New Roman"/>
                <w:b w:val="0"/>
                <w:bCs w:val="0"/>
                <w:sz w:val="24"/>
                <w:lang w:eastAsia="zh-CN"/>
              </w:rPr>
              <w:t>项目</w:t>
            </w:r>
            <w:r>
              <w:rPr>
                <w:rFonts w:hint="default" w:ascii="Times New Roman" w:hAnsi="Times New Roman" w:cs="Times New Roman"/>
                <w:b w:val="0"/>
                <w:bCs w:val="0"/>
                <w:sz w:val="24"/>
              </w:rPr>
              <w:t>未对周边环境和敏感点造成环境影响</w:t>
            </w:r>
            <w:r>
              <w:rPr>
                <w:rFonts w:hint="default" w:ascii="Times New Roman" w:hAnsi="Times New Roman" w:cs="Times New Roman"/>
                <w:sz w:val="24"/>
              </w:rPr>
              <w:t>。</w:t>
            </w:r>
          </w:p>
          <w:p w14:paraId="0D7DE948">
            <w:pPr>
              <w:pStyle w:val="4"/>
              <w:spacing w:before="0" w:line="360" w:lineRule="auto"/>
              <w:ind w:left="0" w:firstLine="482" w:firstLineChars="200"/>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生态环境影响调查结论</w:t>
            </w:r>
          </w:p>
          <w:p w14:paraId="092D13BF">
            <w:pPr>
              <w:snapToGrid w:val="0"/>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施工期生态环境影响主要为部分矿区运输道路和排截水沟的修建及山顶剥离破坏了土地构型，破坏了植被，影响了自然景观。对施工过程中尽量减少对地表及植被的破坏，并及时进行恢复和补植。本项目在施工期的环境影响是短暂的、可逆的，随着施工期的结束而消失。严格按照有关规定采取上述措施进行污染防治，并加强环保监管，使本项目施工对周围环境的影响降低到最小</w:t>
            </w:r>
            <w:r>
              <w:rPr>
                <w:rFonts w:hint="default" w:ascii="Times New Roman" w:hAnsi="Times New Roman" w:cs="Times New Roman"/>
                <w:sz w:val="24"/>
                <w:szCs w:val="24"/>
                <w:lang w:val="en-US" w:eastAsia="zh-CN"/>
              </w:rPr>
              <w:t>。</w:t>
            </w:r>
          </w:p>
          <w:p w14:paraId="1FF680E5">
            <w:pPr>
              <w:pStyle w:val="23"/>
              <w:keepNext w:val="0"/>
              <w:keepLines w:val="0"/>
              <w:pageBreakBefore w:val="0"/>
              <w:widowControl w:val="0"/>
              <w:kinsoku/>
              <w:wordWrap/>
              <w:overflowPunct/>
              <w:topLinePunct w:val="0"/>
              <w:autoSpaceDE w:val="0"/>
              <w:autoSpaceDN w:val="0"/>
              <w:bidi w:val="0"/>
              <w:adjustRightInd/>
              <w:snapToGrid/>
              <w:spacing w:line="364" w:lineRule="auto"/>
              <w:ind w:right="0" w:firstLine="480" w:firstLineChars="200"/>
              <w:jc w:val="both"/>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运营期对生态环境的影响主要为</w:t>
            </w:r>
            <w:r>
              <w:rPr>
                <w:rFonts w:hint="default" w:ascii="Times New Roman" w:hAnsi="Times New Roman" w:eastAsia="宋体" w:cs="Times New Roman"/>
                <w:color w:val="auto"/>
                <w:sz w:val="24"/>
                <w:szCs w:val="24"/>
                <w:lang w:val="en-US" w:eastAsia="zh-CN" w:bidi="zh-CN"/>
              </w:rPr>
              <w:t>在矿山开采、道路修建及</w:t>
            </w:r>
            <w:r>
              <w:rPr>
                <w:rFonts w:hint="default" w:ascii="Times New Roman" w:hAnsi="Times New Roman" w:eastAsia="宋体" w:cs="Times New Roman"/>
                <w:color w:val="000000"/>
                <w:sz w:val="24"/>
                <w:szCs w:val="24"/>
              </w:rPr>
              <w:t>其他辅助设施</w:t>
            </w:r>
            <w:r>
              <w:rPr>
                <w:rFonts w:hint="default" w:ascii="Times New Roman" w:hAnsi="Times New Roman" w:eastAsia="宋体" w:cs="Times New Roman"/>
                <w:color w:val="000000"/>
                <w:sz w:val="24"/>
                <w:szCs w:val="24"/>
                <w:lang w:val="en-US" w:eastAsia="zh-CN"/>
              </w:rPr>
              <w:t>建设过程中</w:t>
            </w:r>
            <w:r>
              <w:rPr>
                <w:rFonts w:hint="default" w:ascii="Times New Roman" w:hAnsi="Times New Roman" w:eastAsia="宋体" w:cs="Times New Roman"/>
                <w:color w:val="auto"/>
                <w:sz w:val="24"/>
                <w:szCs w:val="24"/>
              </w:rPr>
              <w:t>破坏了土地构型，植被被破坏，雨水侵蚀致使土壤流失，土层变薄，土壤发生层次缺失，导致表土裸露，局部蓄水固土的功能将丧失，从而导致水土流失</w:t>
            </w:r>
            <w:r>
              <w:rPr>
                <w:rFonts w:hint="default" w:ascii="Times New Roman" w:hAnsi="Times New Roman" w:cs="Times New Roman"/>
                <w:sz w:val="24"/>
                <w:lang w:val="en-US" w:eastAsia="zh-CN"/>
              </w:rPr>
              <w:t>。</w:t>
            </w:r>
            <w:r>
              <w:rPr>
                <w:rFonts w:hint="default" w:ascii="Times New Roman" w:hAnsi="Times New Roman" w:eastAsia="宋体" w:cs="Times New Roman"/>
                <w:color w:val="auto"/>
                <w:sz w:val="24"/>
                <w:szCs w:val="24"/>
                <w:lang w:val="zh-CN" w:eastAsia="zh-CN" w:bidi="zh-CN"/>
              </w:rPr>
              <w:t>人为活动的增加对</w:t>
            </w:r>
            <w:r>
              <w:rPr>
                <w:rFonts w:hint="default" w:ascii="Times New Roman" w:hAnsi="Times New Roman" w:eastAsia="宋体" w:cs="Times New Roman"/>
                <w:color w:val="auto"/>
                <w:sz w:val="24"/>
                <w:szCs w:val="24"/>
                <w:lang w:val="en-US" w:eastAsia="zh-CN" w:bidi="zh-CN"/>
              </w:rPr>
              <w:t>动植物环境</w:t>
            </w:r>
            <w:r>
              <w:rPr>
                <w:rFonts w:hint="default" w:ascii="Times New Roman" w:hAnsi="Times New Roman" w:eastAsia="宋体" w:cs="Times New Roman"/>
                <w:color w:val="auto"/>
                <w:sz w:val="24"/>
                <w:szCs w:val="24"/>
                <w:lang w:val="zh-CN" w:eastAsia="zh-CN" w:bidi="zh-CN"/>
              </w:rPr>
              <w:t>的</w:t>
            </w:r>
            <w:r>
              <w:rPr>
                <w:rFonts w:hint="default" w:ascii="Times New Roman" w:hAnsi="Times New Roman" w:eastAsia="宋体" w:cs="Times New Roman"/>
                <w:color w:val="auto"/>
                <w:sz w:val="24"/>
                <w:szCs w:val="24"/>
                <w:lang w:val="en-US" w:eastAsia="zh-CN" w:bidi="zh-CN"/>
              </w:rPr>
              <w:t>影响和</w:t>
            </w:r>
            <w:r>
              <w:rPr>
                <w:rFonts w:hint="default" w:ascii="Times New Roman" w:hAnsi="Times New Roman" w:eastAsia="宋体" w:cs="Times New Roman"/>
                <w:color w:val="auto"/>
                <w:sz w:val="24"/>
                <w:szCs w:val="24"/>
                <w:lang w:val="zh-CN" w:eastAsia="zh-CN" w:bidi="zh-CN"/>
              </w:rPr>
              <w:t>破坏。</w:t>
            </w:r>
          </w:p>
          <w:p w14:paraId="25E38EAD">
            <w:pPr>
              <w:pStyle w:val="23"/>
              <w:spacing w:line="360" w:lineRule="auto"/>
              <w:ind w:firstLine="480" w:firstLineChars="200"/>
              <w:jc w:val="both"/>
              <w:rPr>
                <w:rFonts w:hint="default" w:ascii="Times New Roman" w:hAnsi="Times New Roman" w:cs="Times New Roman"/>
                <w:lang w:val="en-US"/>
              </w:rPr>
            </w:pPr>
            <w:r>
              <w:rPr>
                <w:rFonts w:hint="default" w:ascii="Times New Roman" w:hAnsi="Times New Roman" w:cs="Times New Roman"/>
                <w:sz w:val="24"/>
                <w:lang w:val="en-US" w:eastAsia="zh-CN"/>
              </w:rPr>
              <w:t>水土流失的防治措施主要为开采区</w:t>
            </w:r>
            <w:r>
              <w:rPr>
                <w:rFonts w:hint="default" w:ascii="Times New Roman" w:hAnsi="Times New Roman" w:eastAsia="宋体" w:cs="Times New Roman"/>
                <w:color w:val="000000"/>
                <w:sz w:val="24"/>
                <w:szCs w:val="24"/>
              </w:rPr>
              <w:t>进行表土剥离及表土回覆，开采期间</w:t>
            </w:r>
            <w:r>
              <w:rPr>
                <w:rFonts w:hint="default" w:ascii="Times New Roman" w:hAnsi="Times New Roman" w:eastAsia="宋体" w:cs="Times New Roman"/>
                <w:color w:val="000000"/>
                <w:sz w:val="24"/>
                <w:szCs w:val="24"/>
                <w:lang w:val="en-US" w:eastAsia="zh-CN"/>
              </w:rPr>
              <w:t>设置</w:t>
            </w:r>
            <w:r>
              <w:rPr>
                <w:rFonts w:hint="default" w:ascii="Times New Roman" w:hAnsi="Times New Roman" w:eastAsia="宋体" w:cs="Times New Roman"/>
                <w:color w:val="000000"/>
                <w:sz w:val="24"/>
                <w:szCs w:val="24"/>
              </w:rPr>
              <w:t>施工道路边坡防护及道路边沟。这些措施可起到一定水土保持作用，考虑</w:t>
            </w:r>
            <w:r>
              <w:rPr>
                <w:rFonts w:hint="eastAsia" w:cs="Times New Roman"/>
                <w:color w:val="000000"/>
                <w:sz w:val="24"/>
                <w:szCs w:val="24"/>
                <w:lang w:val="en-US" w:eastAsia="zh-CN"/>
              </w:rPr>
              <w:t>到</w:t>
            </w:r>
            <w:r>
              <w:rPr>
                <w:rFonts w:hint="default" w:ascii="Times New Roman" w:hAnsi="Times New Roman" w:eastAsia="宋体" w:cs="Times New Roman"/>
                <w:color w:val="000000"/>
                <w:sz w:val="24"/>
                <w:szCs w:val="24"/>
              </w:rPr>
              <w:t>防止降雨对采区的冲刷，造成水土流失，在采区上游有汇水侧设计截水沟，用于拦截雨水，出口设置</w:t>
            </w:r>
            <w:r>
              <w:rPr>
                <w:rFonts w:hint="default" w:ascii="Times New Roman" w:hAnsi="Times New Roman" w:eastAsia="宋体" w:cs="Times New Roman"/>
                <w:color w:val="000000"/>
                <w:sz w:val="24"/>
                <w:szCs w:val="24"/>
                <w:lang w:val="en-US" w:eastAsia="zh-CN"/>
              </w:rPr>
              <w:t>沉砂</w:t>
            </w:r>
            <w:r>
              <w:rPr>
                <w:rFonts w:hint="default" w:ascii="Times New Roman" w:hAnsi="Times New Roman" w:eastAsia="宋体" w:cs="Times New Roman"/>
                <w:color w:val="000000"/>
                <w:sz w:val="24"/>
                <w:szCs w:val="24"/>
              </w:rPr>
              <w:t>池；平台及宕底设计排水沟措施、植被回覆措施；</w:t>
            </w:r>
            <w:r>
              <w:rPr>
                <w:rFonts w:hint="default" w:ascii="Times New Roman" w:hAnsi="Times New Roman" w:eastAsia="宋体" w:cs="Times New Roman"/>
                <w:color w:val="000000"/>
                <w:sz w:val="24"/>
                <w:szCs w:val="24"/>
                <w:lang w:val="en-US" w:eastAsia="zh-CN"/>
              </w:rPr>
              <w:t>实施边开采边复绿</w:t>
            </w:r>
            <w:r>
              <w:rPr>
                <w:rFonts w:hint="default" w:ascii="Times New Roman" w:hAnsi="Times New Roman" w:eastAsia="宋体" w:cs="Times New Roman"/>
                <w:color w:val="000000"/>
                <w:sz w:val="24"/>
                <w:szCs w:val="24"/>
              </w:rPr>
              <w:t>的绿化措施</w:t>
            </w:r>
            <w:r>
              <w:rPr>
                <w:rFonts w:hint="default" w:ascii="Times New Roman" w:hAnsi="Times New Roman" w:cs="Times New Roman"/>
                <w:sz w:val="24"/>
                <w:lang w:val="zh-CN" w:eastAsia="zh-CN"/>
              </w:rPr>
              <w:t>。</w:t>
            </w:r>
            <w:r>
              <w:rPr>
                <w:rFonts w:hint="default" w:ascii="Times New Roman" w:hAnsi="Times New Roman" w:cs="Times New Roman"/>
                <w:sz w:val="24"/>
                <w:lang w:val="en-US" w:eastAsia="zh-CN"/>
              </w:rPr>
              <w:t>加工系统区在</w:t>
            </w:r>
            <w:r>
              <w:rPr>
                <w:rFonts w:hint="default" w:ascii="Times New Roman" w:hAnsi="Times New Roman" w:eastAsia="宋体" w:cs="Times New Roman"/>
                <w:color w:val="000000"/>
                <w:sz w:val="24"/>
                <w:szCs w:val="24"/>
              </w:rPr>
              <w:t>开采结束后，对工业场地进行清理，拆除机械设备后，清除场地硬化及建筑垃圾。新增土地平整、硬化层清除后覆土绿化措施</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办公生活区在</w:t>
            </w:r>
            <w:r>
              <w:rPr>
                <w:rFonts w:hint="default" w:ascii="Times New Roman" w:hAnsi="Times New Roman" w:eastAsia="宋体" w:cs="Times New Roman"/>
                <w:color w:val="000000"/>
                <w:sz w:val="24"/>
                <w:szCs w:val="24"/>
              </w:rPr>
              <w:t>开采结束后，对办公生活区进行清理，拆除建筑物后，清除办公场地硬化及建筑垃圾。新增土地平整、硬化层清除后覆土绿化措施</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野生动植物保护措施主要为</w:t>
            </w:r>
            <w:r>
              <w:rPr>
                <w:rFonts w:hint="default" w:ascii="Times New Roman" w:hAnsi="Times New Roman" w:eastAsia="宋体" w:cs="Times New Roman"/>
                <w:color w:val="000000"/>
                <w:sz w:val="24"/>
                <w:szCs w:val="24"/>
              </w:rPr>
              <w:t>加强生产管理和职工的生态环保宣传教育，严禁随意开辟便道，禁止所有人员随意进入非工程用地区域活动，踩踏破坏植被，破坏地表生态，严禁捕杀野生动物。</w:t>
            </w:r>
            <w:r>
              <w:rPr>
                <w:rFonts w:hint="default" w:ascii="Times New Roman" w:hAnsi="Times New Roman" w:eastAsia="宋体" w:cs="Times New Roman"/>
                <w:b w:val="0"/>
                <w:bCs w:val="0"/>
                <w:color w:val="auto"/>
                <w:spacing w:val="0"/>
                <w:kern w:val="2"/>
                <w:sz w:val="24"/>
                <w:szCs w:val="24"/>
                <w:lang w:val="en-US" w:eastAsia="zh-CN" w:bidi="ar-SA"/>
              </w:rPr>
              <w:t>复垦措施主要为</w:t>
            </w:r>
            <w:r>
              <w:rPr>
                <w:rFonts w:hint="default" w:ascii="Times New Roman" w:hAnsi="Times New Roman" w:cs="Times New Roman"/>
                <w:color w:val="auto"/>
                <w:sz w:val="24"/>
                <w:szCs w:val="24"/>
              </w:rPr>
              <w:t>矿山闭坑后，将遗留废弃建筑物，地面有一定厚度的固化物，</w:t>
            </w:r>
            <w:r>
              <w:rPr>
                <w:rFonts w:hint="default" w:ascii="Times New Roman" w:hAnsi="Times New Roman" w:cs="Times New Roman"/>
                <w:color w:val="auto"/>
                <w:sz w:val="24"/>
                <w:szCs w:val="24"/>
                <w:lang w:val="en-US" w:eastAsia="zh-CN"/>
              </w:rPr>
              <w:t>将</w:t>
            </w:r>
            <w:r>
              <w:rPr>
                <w:rFonts w:hint="default" w:ascii="Times New Roman" w:hAnsi="Times New Roman" w:cs="Times New Roman"/>
                <w:color w:val="auto"/>
                <w:sz w:val="24"/>
                <w:szCs w:val="24"/>
              </w:rPr>
              <w:t>对地表建筑物或固化物进行拆除、清理，保证场地平整，以便于其他复垦措施的实施</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土地平整</w:t>
            </w:r>
            <w:r>
              <w:rPr>
                <w:rFonts w:hint="default" w:ascii="Times New Roman" w:hAnsi="Times New Roman" w:cs="Times New Roman"/>
                <w:color w:val="auto"/>
                <w:sz w:val="24"/>
                <w:szCs w:val="24"/>
                <w:lang w:val="en-US" w:eastAsia="zh-CN"/>
              </w:rPr>
              <w:t>将</w:t>
            </w:r>
            <w:r>
              <w:rPr>
                <w:rFonts w:hint="default" w:ascii="Times New Roman" w:hAnsi="Times New Roman" w:cs="Times New Roman"/>
                <w:color w:val="auto"/>
                <w:sz w:val="24"/>
                <w:szCs w:val="24"/>
              </w:rPr>
              <w:t>根据项目区地形特点、土地利用方向、灌溉以及防治水土流失等要求，进行土地平整工程设计</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由于矿区开采将使原地面植物遭到一定程度的损毁，在土壤贫瘠区域依靠自然恢复较困难，所以要快速恢复植被，首先是筛选先锋植物，同时要筛选适宜的适生植物以重建人工生态系统。</w:t>
            </w:r>
          </w:p>
          <w:p w14:paraId="126DABB0">
            <w:pPr>
              <w:pStyle w:val="4"/>
              <w:spacing w:before="0" w:line="360" w:lineRule="auto"/>
              <w:ind w:left="0" w:firstLine="482" w:firstLineChars="200"/>
              <w:rPr>
                <w:rFonts w:hint="default" w:ascii="Times New Roman" w:hAnsi="Times New Roman" w:cs="Times New Roman"/>
              </w:rPr>
            </w:pPr>
            <w:r>
              <w:rPr>
                <w:rFonts w:hint="default" w:ascii="Times New Roman" w:hAnsi="Times New Roman" w:cs="Times New Roman"/>
                <w:lang w:val="en-US"/>
              </w:rPr>
              <w:t>7</w:t>
            </w:r>
            <w:r>
              <w:rPr>
                <w:rFonts w:hint="default" w:ascii="Times New Roman" w:hAnsi="Times New Roman" w:cs="Times New Roman"/>
              </w:rPr>
              <w:t>、环境管理</w:t>
            </w:r>
          </w:p>
          <w:p w14:paraId="2AF290E4">
            <w:pPr>
              <w:pStyle w:val="23"/>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项目工程在实施过程中，执行了国家建设项目环境保护</w:t>
            </w:r>
            <w:r>
              <w:rPr>
                <w:rFonts w:hint="default" w:ascii="Times New Roman" w:hAnsi="Times New Roman" w:cs="Times New Roman"/>
                <w:sz w:val="24"/>
                <w:lang w:eastAsia="zh-CN"/>
              </w:rPr>
              <w:t>“</w:t>
            </w:r>
            <w:r>
              <w:rPr>
                <w:rFonts w:hint="default" w:ascii="Times New Roman" w:hAnsi="Times New Roman" w:cs="Times New Roman"/>
                <w:sz w:val="24"/>
              </w:rPr>
              <w:t>三同时”制度，基本落实了环评报告表及其审批文件中提出的各项污染防治措施，工程环保设施的建设实现了与主体工程同时设计、同时施工、同时投入运行，目前各类环保设施运行状况正常。</w:t>
            </w:r>
          </w:p>
          <w:p w14:paraId="10F372DD">
            <w:pPr>
              <w:pStyle w:val="23"/>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lang w:val="en-US" w:eastAsia="zh-CN"/>
              </w:rPr>
              <w:t>我公司</w:t>
            </w:r>
            <w:r>
              <w:rPr>
                <w:rFonts w:hint="default" w:ascii="Times New Roman" w:hAnsi="Times New Roman" w:cs="Times New Roman"/>
                <w:sz w:val="24"/>
              </w:rPr>
              <w:t>制定有环境保护管理制度，并有专职人员负责管理检查。与工程有关的环保档案资料（如：环评报告表、环评批复等）均由</w:t>
            </w:r>
            <w:r>
              <w:rPr>
                <w:rFonts w:hint="eastAsia" w:ascii="Times New Roman" w:hAnsi="Times New Roman" w:cs="Times New Roman"/>
                <w:sz w:val="24"/>
                <w:lang w:val="en-US" w:eastAsia="zh-CN"/>
              </w:rPr>
              <w:t>安环部</w:t>
            </w:r>
            <w:r>
              <w:rPr>
                <w:rFonts w:hint="default" w:ascii="Times New Roman" w:hAnsi="Times New Roman" w:cs="Times New Roman"/>
                <w:sz w:val="24"/>
              </w:rPr>
              <w:t>负责统一收存、管理。</w:t>
            </w:r>
          </w:p>
          <w:p w14:paraId="510EECC7">
            <w:pPr>
              <w:pStyle w:val="4"/>
              <w:spacing w:before="0" w:line="360" w:lineRule="auto"/>
              <w:ind w:left="0" w:firstLine="482" w:firstLineChars="200"/>
              <w:rPr>
                <w:rFonts w:hint="default" w:ascii="Times New Roman" w:hAnsi="Times New Roman" w:eastAsia="宋体" w:cs="Times New Roman"/>
                <w:lang w:val="en-US" w:eastAsia="zh-CN"/>
              </w:rPr>
            </w:pPr>
            <w:r>
              <w:rPr>
                <w:rFonts w:hint="default" w:ascii="Times New Roman" w:hAnsi="Times New Roman" w:cs="Times New Roman"/>
                <w:lang w:val="en-US"/>
              </w:rPr>
              <w:t>8</w:t>
            </w:r>
            <w:r>
              <w:rPr>
                <w:rFonts w:hint="default" w:ascii="Times New Roman" w:hAnsi="Times New Roman" w:cs="Times New Roman"/>
              </w:rPr>
              <w:t>、</w:t>
            </w:r>
            <w:r>
              <w:rPr>
                <w:rFonts w:hint="default" w:ascii="Times New Roman" w:hAnsi="Times New Roman" w:cs="Times New Roman"/>
                <w:sz w:val="24"/>
              </w:rPr>
              <w:t>竣工环保验收</w:t>
            </w:r>
            <w:r>
              <w:rPr>
                <w:rFonts w:hint="default" w:ascii="Times New Roman" w:hAnsi="Times New Roman" w:cs="Times New Roman"/>
              </w:rPr>
              <w:t>结论</w:t>
            </w:r>
          </w:p>
          <w:p w14:paraId="17D1E23D">
            <w:pPr>
              <w:pStyle w:val="23"/>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根据</w:t>
            </w:r>
            <w:r>
              <w:rPr>
                <w:rFonts w:hint="eastAsia" w:cs="Times New Roman"/>
                <w:color w:val="auto"/>
                <w:sz w:val="24"/>
                <w:lang w:val="en-US" w:eastAsia="zh-CN"/>
              </w:rPr>
              <w:t>博创检测（湖北）有限公司</w:t>
            </w:r>
            <w:r>
              <w:rPr>
                <w:rFonts w:hint="default" w:ascii="Times New Roman" w:hAnsi="Times New Roman" w:cs="Times New Roman"/>
                <w:sz w:val="24"/>
              </w:rPr>
              <w:t>提供的监测结果，项目排放的主要污染物满足相关标准要求</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同时</w:t>
            </w:r>
            <w:r>
              <w:rPr>
                <w:rFonts w:hint="default" w:ascii="Times New Roman" w:hAnsi="Times New Roman" w:cs="Times New Roman"/>
                <w:sz w:val="24"/>
              </w:rPr>
              <w:t>根据本次建设项目竣工环境保护验收资料及现场</w:t>
            </w:r>
            <w:r>
              <w:rPr>
                <w:rFonts w:hint="eastAsia" w:ascii="Times New Roman" w:hAnsi="Times New Roman" w:cs="Times New Roman"/>
                <w:sz w:val="24"/>
                <w:lang w:val="en-US" w:eastAsia="zh-CN"/>
              </w:rPr>
              <w:t>调查</w:t>
            </w:r>
            <w:r>
              <w:rPr>
                <w:rFonts w:hint="default" w:ascii="Times New Roman" w:hAnsi="Times New Roman" w:cs="Times New Roman"/>
                <w:sz w:val="24"/>
              </w:rPr>
              <w:t>结果，</w:t>
            </w:r>
            <w:r>
              <w:rPr>
                <w:rFonts w:hint="default" w:ascii="Times New Roman" w:hAnsi="Times New Roman" w:cs="Times New Roman"/>
                <w:sz w:val="24"/>
                <w:szCs w:val="24"/>
                <w:lang w:eastAsia="zh-CN"/>
              </w:rPr>
              <w:t>《</w:t>
            </w:r>
            <w:r>
              <w:rPr>
                <w:rFonts w:hint="default" w:ascii="Times New Roman" w:hAnsi="Times New Roman" w:cs="Times New Roman"/>
                <w:sz w:val="24"/>
                <w:szCs w:val="24"/>
              </w:rPr>
              <w:t>建设项目竣工环境保护验收技术规范</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生态影响类</w:t>
            </w:r>
            <w:r>
              <w:rPr>
                <w:rFonts w:hint="default" w:ascii="Times New Roman" w:hAnsi="Times New Roman" w:cs="Times New Roman"/>
                <w:sz w:val="24"/>
                <w:szCs w:val="24"/>
                <w:lang w:eastAsia="zh-CN"/>
              </w:rPr>
              <w:t>》</w:t>
            </w:r>
            <w:r>
              <w:rPr>
                <w:rFonts w:hint="default" w:ascii="Times New Roman" w:hAnsi="Times New Roman" w:cs="Times New Roman"/>
                <w:sz w:val="24"/>
                <w:szCs w:val="24"/>
              </w:rPr>
              <w:t>（</w:t>
            </w:r>
            <w:r>
              <w:rPr>
                <w:rFonts w:hint="default" w:ascii="Times New Roman" w:hAnsi="Times New Roman" w:cs="Times New Roman"/>
                <w:sz w:val="24"/>
                <w:szCs w:val="24"/>
                <w:lang w:eastAsia="zh-CN"/>
              </w:rPr>
              <w:t>HJ/T 394-2007</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及</w:t>
            </w:r>
            <w:r>
              <w:rPr>
                <w:rFonts w:hint="default" w:ascii="Times New Roman" w:hAnsi="Times New Roman" w:cs="Times New Roman"/>
                <w:sz w:val="24"/>
              </w:rPr>
              <w:t>《建设项目竣工环境保护验收暂行办法》的相关规定</w:t>
            </w:r>
            <w:r>
              <w:rPr>
                <w:rFonts w:hint="eastAsia" w:ascii="Times New Roman" w:hAnsi="Times New Roman" w:cs="Times New Roman"/>
                <w:sz w:val="24"/>
                <w:lang w:eastAsia="zh-CN"/>
              </w:rPr>
              <w:t>，</w:t>
            </w:r>
            <w:r>
              <w:rPr>
                <w:rFonts w:hint="default" w:ascii="Times New Roman" w:hAnsi="Times New Roman" w:cs="Times New Roman"/>
                <w:sz w:val="24"/>
              </w:rPr>
              <w:t>本项目符合建设项目竣工环保验收条件。</w:t>
            </w:r>
          </w:p>
          <w:p w14:paraId="793678C3">
            <w:pPr>
              <w:pStyle w:val="23"/>
              <w:spacing w:line="360" w:lineRule="auto"/>
              <w:rPr>
                <w:rFonts w:hint="default" w:ascii="Times New Roman" w:hAnsi="Times New Roman" w:cs="Times New Roman"/>
                <w:b/>
                <w:sz w:val="28"/>
              </w:rPr>
            </w:pPr>
            <w:r>
              <w:rPr>
                <w:rFonts w:hint="default" w:ascii="Times New Roman" w:hAnsi="Times New Roman" w:cs="Times New Roman"/>
                <w:b/>
                <w:sz w:val="28"/>
              </w:rPr>
              <w:t>二、建议</w:t>
            </w:r>
          </w:p>
          <w:p w14:paraId="70AE77E3">
            <w:pPr>
              <w:pStyle w:val="23"/>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针对本</w:t>
            </w:r>
            <w:r>
              <w:rPr>
                <w:rFonts w:hint="default" w:ascii="Times New Roman" w:hAnsi="Times New Roman" w:cs="Times New Roman"/>
                <w:sz w:val="24"/>
                <w:lang w:eastAsia="zh-CN"/>
              </w:rPr>
              <w:t>项目</w:t>
            </w:r>
            <w:r>
              <w:rPr>
                <w:rFonts w:hint="default" w:ascii="Times New Roman" w:hAnsi="Times New Roman" w:cs="Times New Roman"/>
                <w:sz w:val="24"/>
              </w:rPr>
              <w:t>目前存在的主要环境问题，建议进一步做好以下环境恢复和管理工作：</w:t>
            </w:r>
          </w:p>
          <w:p w14:paraId="1CE296D8">
            <w:pPr>
              <w:pStyle w:val="23"/>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（1）做好生态保护措施，防止生态环境破坏。</w:t>
            </w:r>
          </w:p>
          <w:p w14:paraId="469EE3DC">
            <w:pPr>
              <w:pStyle w:val="23"/>
              <w:spacing w:line="360" w:lineRule="auto"/>
              <w:ind w:firstLine="476" w:firstLineChars="200"/>
              <w:jc w:val="both"/>
              <w:rPr>
                <w:rFonts w:hint="default" w:ascii="Times New Roman" w:hAnsi="Times New Roman" w:cs="Times New Roman"/>
                <w:sz w:val="24"/>
              </w:rPr>
            </w:pPr>
            <w:r>
              <w:rPr>
                <w:rFonts w:hint="default" w:ascii="Times New Roman" w:hAnsi="Times New Roman" w:cs="Times New Roman"/>
                <w:spacing w:val="-1"/>
                <w:sz w:val="24"/>
              </w:rPr>
              <w:t>（2）加强</w:t>
            </w:r>
            <w:r>
              <w:rPr>
                <w:rFonts w:hint="default" w:ascii="Times New Roman" w:hAnsi="Times New Roman" w:cs="Times New Roman"/>
                <w:sz w:val="24"/>
                <w:szCs w:val="24"/>
              </w:rPr>
              <w:t>环保</w:t>
            </w:r>
            <w:r>
              <w:rPr>
                <w:rFonts w:hint="default" w:ascii="Times New Roman" w:hAnsi="Times New Roman" w:cs="Times New Roman"/>
                <w:spacing w:val="-1"/>
                <w:sz w:val="24"/>
              </w:rPr>
              <w:t>设施的管理及维护，保证处理效果的可靠性，确保各项污染</w:t>
            </w:r>
            <w:r>
              <w:rPr>
                <w:rFonts w:hint="default" w:ascii="Times New Roman" w:hAnsi="Times New Roman" w:cs="Times New Roman"/>
                <w:sz w:val="24"/>
              </w:rPr>
              <w:t>物稳定达标排放。</w:t>
            </w:r>
          </w:p>
          <w:p w14:paraId="7AA03D43">
            <w:pPr>
              <w:pStyle w:val="23"/>
              <w:spacing w:line="360" w:lineRule="auto"/>
              <w:ind w:firstLine="480" w:firstLineChars="200"/>
              <w:jc w:val="both"/>
              <w:rPr>
                <w:rFonts w:hint="default" w:ascii="Times New Roman" w:hAnsi="Times New Roman" w:eastAsia="宋体" w:cs="Times New Roman"/>
                <w:b/>
                <w:sz w:val="28"/>
                <w:lang w:val="en-US" w:eastAsia="zh-CN"/>
              </w:rPr>
            </w:pPr>
            <w:r>
              <w:rPr>
                <w:rFonts w:hint="default" w:ascii="Times New Roman" w:hAnsi="Times New Roman" w:cs="Times New Roman"/>
                <w:sz w:val="24"/>
              </w:rPr>
              <w:t>（3）关注附近居民</w:t>
            </w:r>
            <w:r>
              <w:rPr>
                <w:rFonts w:hint="eastAsia" w:ascii="Times New Roman" w:hAnsi="Times New Roman" w:cs="Times New Roman"/>
                <w:sz w:val="24"/>
                <w:lang w:val="en-US" w:eastAsia="zh-CN"/>
              </w:rPr>
              <w:t>生产</w:t>
            </w:r>
            <w:r>
              <w:rPr>
                <w:rFonts w:hint="default" w:ascii="Times New Roman" w:hAnsi="Times New Roman" w:cs="Times New Roman"/>
                <w:sz w:val="24"/>
              </w:rPr>
              <w:t>生活情况，确保项目不影响居民</w:t>
            </w:r>
            <w:r>
              <w:rPr>
                <w:rFonts w:hint="eastAsia" w:ascii="Times New Roman" w:hAnsi="Times New Roman" w:cs="Times New Roman"/>
                <w:sz w:val="24"/>
                <w:lang w:val="en-US" w:eastAsia="zh-CN"/>
              </w:rPr>
              <w:t>的生产</w:t>
            </w:r>
            <w:r>
              <w:rPr>
                <w:rFonts w:hint="default" w:ascii="Times New Roman" w:hAnsi="Times New Roman" w:cs="Times New Roman"/>
                <w:sz w:val="24"/>
              </w:rPr>
              <w:t>生活。</w:t>
            </w:r>
          </w:p>
        </w:tc>
      </w:tr>
    </w:tbl>
    <w:p w14:paraId="5E4D93E2">
      <w:pPr>
        <w:widowControl/>
        <w:autoSpaceDE/>
        <w:autoSpaceDN/>
        <w:jc w:val="both"/>
        <w:rPr>
          <w:rFonts w:hint="default" w:ascii="Times New Roman" w:hAnsi="Times New Roman" w:cs="Times New Roman"/>
          <w:sz w:val="30"/>
        </w:rPr>
        <w:sectPr>
          <w:pgSz w:w="11911" w:h="16838"/>
          <w:pgMar w:top="1440" w:right="1361" w:bottom="1440" w:left="1361" w:header="964" w:footer="918" w:gutter="0"/>
          <w:pgBorders>
            <w:top w:val="none" w:sz="0" w:space="0"/>
            <w:left w:val="none" w:sz="0" w:space="0"/>
            <w:bottom w:val="none" w:sz="0" w:space="0"/>
            <w:right w:val="none" w:sz="0" w:space="0"/>
          </w:pgBorders>
          <w:pgNumType w:fmt="decimal"/>
          <w:cols w:space="720" w:num="1"/>
          <w:rtlGutter w:val="0"/>
          <w:docGrid w:linePitch="299" w:charSpace="0"/>
        </w:sectPr>
      </w:pPr>
    </w:p>
    <w:p w14:paraId="4B2CF876">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jc w:val="center"/>
        <w:textAlignment w:val="auto"/>
        <w:rPr>
          <w:rFonts w:hint="default" w:ascii="Times New Roman" w:hAnsi="Times New Roman" w:cs="Times New Roman"/>
          <w:b/>
          <w:bCs/>
          <w:sz w:val="32"/>
          <w:szCs w:val="32"/>
        </w:rPr>
      </w:pPr>
      <w:bookmarkStart w:id="41" w:name="_Toc520896052"/>
      <w:bookmarkStart w:id="42" w:name="_Toc20354"/>
      <w:bookmarkStart w:id="43" w:name="_Toc15281137"/>
      <w:bookmarkStart w:id="44" w:name="_Toc29804300"/>
      <w:bookmarkStart w:id="45" w:name="_Toc13718"/>
      <w:bookmarkStart w:id="46" w:name="_Toc14392"/>
      <w:bookmarkStart w:id="47" w:name="_Toc31799"/>
      <w:r>
        <w:rPr>
          <w:rFonts w:hint="default" w:ascii="Times New Roman" w:hAnsi="Times New Roman" w:cs="Times New Roman"/>
          <w:b/>
          <w:bCs/>
          <w:sz w:val="32"/>
          <w:szCs w:val="32"/>
        </w:rPr>
        <w:t>建设项目竣工环境保护</w:t>
      </w:r>
      <w:r>
        <w:rPr>
          <w:rFonts w:hint="default" w:ascii="Times New Roman" w:hAnsi="Times New Roman" w:cs="Times New Roman"/>
          <w:b/>
          <w:bCs/>
          <w:sz w:val="32"/>
          <w:szCs w:val="32"/>
          <w:lang w:eastAsia="zh-CN"/>
        </w:rPr>
        <w:t>“</w:t>
      </w:r>
      <w:r>
        <w:rPr>
          <w:rFonts w:hint="default" w:ascii="Times New Roman" w:hAnsi="Times New Roman" w:cs="Times New Roman"/>
          <w:b/>
          <w:bCs/>
          <w:sz w:val="32"/>
          <w:szCs w:val="32"/>
        </w:rPr>
        <w:t>三同时”验收登记表</w:t>
      </w:r>
      <w:bookmarkEnd w:id="41"/>
      <w:bookmarkEnd w:id="42"/>
      <w:bookmarkEnd w:id="43"/>
      <w:bookmarkEnd w:id="44"/>
      <w:bookmarkEnd w:id="45"/>
      <w:bookmarkEnd w:id="46"/>
      <w:bookmarkEnd w:id="47"/>
    </w:p>
    <w:p w14:paraId="4319B1B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spacing w:val="-4"/>
          <w:sz w:val="24"/>
          <w:szCs w:val="24"/>
          <w:lang w:val="en-US" w:eastAsia="zh-CN"/>
        </w:rPr>
      </w:pPr>
      <w:bookmarkStart w:id="48" w:name="_Toc17044"/>
      <w:bookmarkStart w:id="49" w:name="_Toc4235"/>
      <w:r>
        <w:rPr>
          <w:rFonts w:hint="default" w:ascii="Times New Roman" w:hAnsi="Times New Roman" w:cs="Times New Roman"/>
          <w:szCs w:val="24"/>
        </w:rPr>
        <w:t>填表单位（盖章）：</w:t>
      </w:r>
      <w:r>
        <w:rPr>
          <w:rFonts w:hint="eastAsia" w:cs="Times New Roman"/>
          <w:color w:val="auto"/>
          <w:sz w:val="24"/>
          <w:szCs w:val="24"/>
          <w:lang w:eastAsia="zh-CN"/>
        </w:rPr>
        <w:t>湖北省嘉丰泰华矿业有限公司</w:t>
      </w:r>
      <w:r>
        <w:rPr>
          <w:rFonts w:hint="default" w:ascii="Times New Roman" w:hAnsi="Times New Roman" w:cs="Times New Roman"/>
          <w:szCs w:val="24"/>
        </w:rPr>
        <w:t xml:space="preserve">  </w:t>
      </w:r>
      <w:r>
        <w:rPr>
          <w:rFonts w:hint="eastAsia" w:ascii="Times New Roman" w:hAnsi="Times New Roman" w:cs="Times New Roman"/>
          <w:szCs w:val="24"/>
          <w:lang w:val="en-US" w:eastAsia="zh-CN"/>
        </w:rPr>
        <w:t xml:space="preserve">      </w:t>
      </w:r>
      <w:r>
        <w:rPr>
          <w:rFonts w:hint="default" w:ascii="Times New Roman" w:hAnsi="Times New Roman" w:cs="Times New Roman"/>
          <w:szCs w:val="24"/>
        </w:rPr>
        <w:t xml:space="preserve">填表人（签字）：     </w:t>
      </w:r>
      <w:r>
        <w:rPr>
          <w:rFonts w:hint="eastAsia" w:ascii="Times New Roman" w:hAnsi="Times New Roman" w:cs="Times New Roman"/>
          <w:szCs w:val="24"/>
          <w:lang w:val="en-US" w:eastAsia="zh-CN"/>
        </w:rPr>
        <w:t xml:space="preserve">         </w:t>
      </w:r>
      <w:r>
        <w:rPr>
          <w:rFonts w:hint="default" w:ascii="Times New Roman" w:hAnsi="Times New Roman" w:cs="Times New Roman"/>
          <w:szCs w:val="24"/>
        </w:rPr>
        <w:t xml:space="preserve">  项目经办人（签字）：</w:t>
      </w:r>
      <w:bookmarkEnd w:id="48"/>
      <w:bookmarkEnd w:id="49"/>
      <w:r>
        <w:rPr>
          <w:rFonts w:hint="eastAsia" w:ascii="Times New Roman" w:hAnsi="Times New Roman" w:cs="Times New Roman"/>
          <w:szCs w:val="24"/>
          <w:lang w:val="en-US" w:eastAsia="zh-CN"/>
        </w:rPr>
        <w:t xml:space="preserve">        </w:t>
      </w:r>
    </w:p>
    <w:tbl>
      <w:tblPr>
        <w:tblStyle w:val="17"/>
        <w:tblW w:w="140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1"/>
        <w:gridCol w:w="1561"/>
        <w:gridCol w:w="692"/>
        <w:gridCol w:w="393"/>
        <w:gridCol w:w="232"/>
        <w:gridCol w:w="404"/>
        <w:gridCol w:w="398"/>
        <w:gridCol w:w="48"/>
        <w:gridCol w:w="135"/>
        <w:gridCol w:w="412"/>
        <w:gridCol w:w="381"/>
        <w:gridCol w:w="154"/>
        <w:gridCol w:w="1082"/>
        <w:gridCol w:w="220"/>
        <w:gridCol w:w="862"/>
        <w:gridCol w:w="476"/>
        <w:gridCol w:w="605"/>
        <w:gridCol w:w="503"/>
        <w:gridCol w:w="475"/>
        <w:gridCol w:w="152"/>
        <w:gridCol w:w="1123"/>
        <w:gridCol w:w="208"/>
        <w:gridCol w:w="198"/>
        <w:gridCol w:w="174"/>
        <w:gridCol w:w="413"/>
        <w:gridCol w:w="252"/>
        <w:gridCol w:w="557"/>
        <w:gridCol w:w="272"/>
        <w:gridCol w:w="472"/>
        <w:gridCol w:w="607"/>
      </w:tblGrid>
      <w:tr w14:paraId="3FDDC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restart"/>
            <w:noWrap w:val="0"/>
            <w:vAlign w:val="center"/>
          </w:tcPr>
          <w:p w14:paraId="170BEF7D">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w:t>
            </w:r>
          </w:p>
          <w:p w14:paraId="625D6CFD">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w:t>
            </w:r>
          </w:p>
          <w:p w14:paraId="0258AA90">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w:t>
            </w:r>
          </w:p>
          <w:p w14:paraId="23395E0A">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目</w:t>
            </w:r>
          </w:p>
        </w:tc>
        <w:tc>
          <w:tcPr>
            <w:tcW w:w="1561" w:type="dxa"/>
            <w:noWrap w:val="0"/>
            <w:vAlign w:val="center"/>
          </w:tcPr>
          <w:p w14:paraId="3E98B6D0">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5889" w:type="dxa"/>
            <w:gridSpan w:val="14"/>
            <w:noWrap w:val="0"/>
            <w:vAlign w:val="center"/>
          </w:tcPr>
          <w:p w14:paraId="621892EC">
            <w:pPr>
              <w:adjustRightInd/>
              <w:snapToGrid/>
              <w:spacing w:line="240" w:lineRule="auto"/>
              <w:jc w:val="center"/>
              <w:rPr>
                <w:rFonts w:hint="default" w:ascii="Times New Roman" w:hAnsi="Times New Roman" w:eastAsia="宋体" w:cs="Times New Roman"/>
                <w:color w:val="auto"/>
                <w:sz w:val="18"/>
                <w:szCs w:val="18"/>
                <w:lang w:eastAsia="zh-CN"/>
              </w:rPr>
            </w:pPr>
            <w:r>
              <w:rPr>
                <w:rFonts w:hint="eastAsia" w:cs="Times New Roman"/>
                <w:color w:val="auto"/>
                <w:sz w:val="18"/>
                <w:szCs w:val="18"/>
                <w:lang w:eastAsia="zh-CN"/>
              </w:rPr>
              <w:t>湖北省嘉丰泰华矿业有限公司白鸭山矿区C8区块饰面用花岗岩矿开采项目</w:t>
            </w:r>
          </w:p>
        </w:tc>
        <w:tc>
          <w:tcPr>
            <w:tcW w:w="1583" w:type="dxa"/>
            <w:gridSpan w:val="3"/>
            <w:noWrap w:val="0"/>
            <w:vAlign w:val="center"/>
          </w:tcPr>
          <w:p w14:paraId="6BE23B84">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4428" w:type="dxa"/>
            <w:gridSpan w:val="11"/>
            <w:noWrap w:val="0"/>
            <w:vAlign w:val="center"/>
          </w:tcPr>
          <w:p w14:paraId="5A648216">
            <w:pPr>
              <w:adjustRightInd/>
              <w:snapToGrid/>
              <w:spacing w:line="240" w:lineRule="auto"/>
              <w:jc w:val="center"/>
              <w:rPr>
                <w:rFonts w:hint="default" w:ascii="Times New Roman" w:hAnsi="Times New Roman" w:eastAsia="宋体" w:cs="Times New Roman"/>
                <w:color w:val="auto"/>
                <w:sz w:val="18"/>
                <w:szCs w:val="18"/>
                <w:lang w:eastAsia="zh-CN"/>
              </w:rPr>
            </w:pPr>
            <w:r>
              <w:rPr>
                <w:rFonts w:hint="eastAsia" w:cs="Times New Roman"/>
                <w:color w:val="auto"/>
                <w:sz w:val="18"/>
                <w:szCs w:val="18"/>
                <w:lang w:eastAsia="zh-CN"/>
              </w:rPr>
              <w:t>麻城市白鸭山矿区C8区块</w:t>
            </w:r>
          </w:p>
        </w:tc>
      </w:tr>
      <w:tr w14:paraId="32468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41984E9A">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5DE3076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建设单位</w:t>
            </w:r>
          </w:p>
        </w:tc>
        <w:tc>
          <w:tcPr>
            <w:tcW w:w="5889" w:type="dxa"/>
            <w:gridSpan w:val="14"/>
            <w:noWrap w:val="0"/>
            <w:vAlign w:val="center"/>
          </w:tcPr>
          <w:p w14:paraId="69C85EEC">
            <w:pPr>
              <w:adjustRightInd/>
              <w:snapToGrid/>
              <w:spacing w:line="240" w:lineRule="auto"/>
              <w:jc w:val="center"/>
              <w:rPr>
                <w:rFonts w:hint="default" w:ascii="Times New Roman" w:hAnsi="Times New Roman" w:eastAsia="宋体" w:cs="Times New Roman"/>
                <w:color w:val="auto"/>
                <w:sz w:val="18"/>
                <w:szCs w:val="18"/>
                <w:lang w:eastAsia="zh-CN"/>
              </w:rPr>
            </w:pPr>
            <w:r>
              <w:rPr>
                <w:rFonts w:hint="eastAsia" w:cs="Times New Roman"/>
                <w:color w:val="auto"/>
                <w:sz w:val="18"/>
                <w:szCs w:val="18"/>
                <w:lang w:eastAsia="zh-CN"/>
              </w:rPr>
              <w:t>湖北省嘉丰泰华矿业有限公司</w:t>
            </w:r>
          </w:p>
        </w:tc>
        <w:tc>
          <w:tcPr>
            <w:tcW w:w="1583" w:type="dxa"/>
            <w:gridSpan w:val="3"/>
            <w:noWrap w:val="0"/>
            <w:vAlign w:val="center"/>
          </w:tcPr>
          <w:p w14:paraId="09F72FC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邮编</w:t>
            </w:r>
          </w:p>
        </w:tc>
        <w:tc>
          <w:tcPr>
            <w:tcW w:w="1483" w:type="dxa"/>
            <w:gridSpan w:val="3"/>
            <w:noWrap w:val="0"/>
            <w:vAlign w:val="center"/>
          </w:tcPr>
          <w:p w14:paraId="099DBD2E">
            <w:pPr>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438336</w:t>
            </w:r>
          </w:p>
        </w:tc>
        <w:tc>
          <w:tcPr>
            <w:tcW w:w="1594" w:type="dxa"/>
            <w:gridSpan w:val="5"/>
            <w:noWrap w:val="0"/>
            <w:vAlign w:val="center"/>
          </w:tcPr>
          <w:p w14:paraId="437149A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联系电话</w:t>
            </w:r>
          </w:p>
        </w:tc>
        <w:tc>
          <w:tcPr>
            <w:tcW w:w="1351" w:type="dxa"/>
            <w:gridSpan w:val="3"/>
            <w:noWrap w:val="0"/>
            <w:vAlign w:val="center"/>
          </w:tcPr>
          <w:p w14:paraId="297264A1">
            <w:pPr>
              <w:adjustRightInd/>
              <w:snapToGrid/>
              <w:spacing w:line="240" w:lineRule="auto"/>
              <w:jc w:val="center"/>
              <w:rPr>
                <w:rFonts w:hint="default" w:ascii="Times New Roman" w:hAnsi="Times New Roman" w:eastAsia="宋体" w:cs="Times New Roman"/>
                <w:color w:val="auto"/>
                <w:sz w:val="18"/>
                <w:szCs w:val="18"/>
                <w:lang w:eastAsia="zh-CN"/>
              </w:rPr>
            </w:pPr>
            <w:r>
              <w:rPr>
                <w:rFonts w:hint="eastAsia" w:cs="Times New Roman"/>
                <w:color w:val="auto"/>
                <w:sz w:val="18"/>
                <w:szCs w:val="18"/>
                <w:lang w:eastAsia="zh-CN"/>
              </w:rPr>
              <w:t>18162898666</w:t>
            </w:r>
          </w:p>
        </w:tc>
      </w:tr>
      <w:tr w14:paraId="55E91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773B55F1">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3007FB72">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w:t>
            </w:r>
          </w:p>
        </w:tc>
        <w:tc>
          <w:tcPr>
            <w:tcW w:w="1721" w:type="dxa"/>
            <w:gridSpan w:val="4"/>
            <w:noWrap w:val="0"/>
            <w:vAlign w:val="center"/>
          </w:tcPr>
          <w:p w14:paraId="0B62BEA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 xml:space="preserve">B101  </w:t>
            </w:r>
            <w:r>
              <w:rPr>
                <w:rFonts w:hint="default" w:ascii="Times New Roman" w:hAnsi="Times New Roman" w:cs="Times New Roman"/>
                <w:color w:val="auto"/>
                <w:sz w:val="18"/>
                <w:szCs w:val="18"/>
              </w:rPr>
              <w:t>土砂石开采</w:t>
            </w:r>
          </w:p>
        </w:tc>
        <w:tc>
          <w:tcPr>
            <w:tcW w:w="993" w:type="dxa"/>
            <w:gridSpan w:val="4"/>
            <w:noWrap w:val="0"/>
            <w:vAlign w:val="center"/>
          </w:tcPr>
          <w:p w14:paraId="67163E16">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3175" w:type="dxa"/>
            <w:gridSpan w:val="6"/>
            <w:noWrap w:val="0"/>
            <w:vAlign w:val="center"/>
          </w:tcPr>
          <w:p w14:paraId="5DB3633E">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  □改扩建  □技术改造</w:t>
            </w:r>
          </w:p>
        </w:tc>
        <w:tc>
          <w:tcPr>
            <w:tcW w:w="1583" w:type="dxa"/>
            <w:gridSpan w:val="3"/>
            <w:noWrap w:val="0"/>
            <w:vAlign w:val="center"/>
          </w:tcPr>
          <w:p w14:paraId="6DAAB4C6">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建设项目开工日期</w:t>
            </w:r>
          </w:p>
        </w:tc>
        <w:tc>
          <w:tcPr>
            <w:tcW w:w="1483" w:type="dxa"/>
            <w:gridSpan w:val="3"/>
            <w:noWrap w:val="0"/>
            <w:vAlign w:val="center"/>
          </w:tcPr>
          <w:p w14:paraId="63738843">
            <w:pPr>
              <w:adjustRightInd/>
              <w:snapToGrid/>
              <w:spacing w:line="240" w:lineRule="auto"/>
              <w:jc w:val="center"/>
              <w:rPr>
                <w:rFonts w:hint="default"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202</w:t>
            </w:r>
            <w:r>
              <w:rPr>
                <w:rFonts w:hint="eastAsia" w:cs="Times New Roman"/>
                <w:color w:val="auto"/>
                <w:sz w:val="18"/>
                <w:szCs w:val="18"/>
                <w:lang w:val="en-US" w:eastAsia="zh-CN"/>
              </w:rPr>
              <w:t>4</w:t>
            </w:r>
            <w:r>
              <w:rPr>
                <w:rFonts w:hint="default" w:ascii="Times New Roman" w:hAnsi="Times New Roman" w:cs="Times New Roman"/>
                <w:color w:val="auto"/>
                <w:sz w:val="18"/>
                <w:szCs w:val="18"/>
                <w:lang w:eastAsia="zh-CN"/>
              </w:rPr>
              <w:t>年</w:t>
            </w:r>
            <w:r>
              <w:rPr>
                <w:rFonts w:hint="eastAsia" w:cs="Times New Roman"/>
                <w:color w:val="auto"/>
                <w:sz w:val="18"/>
                <w:szCs w:val="18"/>
                <w:lang w:val="en-US" w:eastAsia="zh-CN"/>
              </w:rPr>
              <w:t>5</w:t>
            </w:r>
            <w:r>
              <w:rPr>
                <w:rFonts w:hint="default" w:ascii="Times New Roman" w:hAnsi="Times New Roman" w:cs="Times New Roman"/>
                <w:color w:val="auto"/>
                <w:sz w:val="18"/>
                <w:szCs w:val="18"/>
                <w:lang w:eastAsia="zh-CN"/>
              </w:rPr>
              <w:t>月</w:t>
            </w:r>
          </w:p>
        </w:tc>
        <w:tc>
          <w:tcPr>
            <w:tcW w:w="1594" w:type="dxa"/>
            <w:gridSpan w:val="5"/>
            <w:noWrap w:val="0"/>
            <w:vAlign w:val="center"/>
          </w:tcPr>
          <w:p w14:paraId="1A9A9DB4">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投入试运行日期</w:t>
            </w:r>
          </w:p>
        </w:tc>
        <w:tc>
          <w:tcPr>
            <w:tcW w:w="1351" w:type="dxa"/>
            <w:gridSpan w:val="3"/>
            <w:noWrap w:val="0"/>
            <w:vAlign w:val="center"/>
          </w:tcPr>
          <w:p w14:paraId="69B251E6">
            <w:pPr>
              <w:adjustRightInd/>
              <w:snapToGrid/>
              <w:spacing w:line="240" w:lineRule="auto"/>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202</w:t>
            </w:r>
            <w:r>
              <w:rPr>
                <w:rFonts w:hint="eastAsia" w:cs="Times New Roman"/>
                <w:color w:val="auto"/>
                <w:sz w:val="18"/>
                <w:szCs w:val="18"/>
                <w:lang w:val="en-US" w:eastAsia="zh-CN"/>
              </w:rPr>
              <w:t>4</w:t>
            </w:r>
            <w:r>
              <w:rPr>
                <w:rFonts w:hint="default" w:ascii="Times New Roman" w:hAnsi="Times New Roman" w:cs="Times New Roman"/>
                <w:color w:val="auto"/>
                <w:sz w:val="18"/>
                <w:szCs w:val="18"/>
              </w:rPr>
              <w:t>年</w:t>
            </w:r>
            <w:r>
              <w:rPr>
                <w:rFonts w:hint="eastAsia" w:cs="Times New Roman"/>
                <w:color w:val="auto"/>
                <w:sz w:val="18"/>
                <w:szCs w:val="18"/>
                <w:lang w:val="en-US" w:eastAsia="zh-CN"/>
              </w:rPr>
              <w:t>6</w:t>
            </w:r>
            <w:r>
              <w:rPr>
                <w:rFonts w:hint="default" w:ascii="Times New Roman" w:hAnsi="Times New Roman" w:cs="Times New Roman"/>
                <w:color w:val="auto"/>
                <w:sz w:val="18"/>
                <w:szCs w:val="18"/>
              </w:rPr>
              <w:t>月</w:t>
            </w:r>
          </w:p>
        </w:tc>
      </w:tr>
      <w:tr w14:paraId="27AA5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72CA6CAB">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6E6FD4A4">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5889" w:type="dxa"/>
            <w:gridSpan w:val="14"/>
            <w:noWrap w:val="0"/>
            <w:vAlign w:val="center"/>
          </w:tcPr>
          <w:p w14:paraId="4AE4B665">
            <w:pPr>
              <w:pStyle w:val="23"/>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color w:val="auto"/>
                <w:sz w:val="18"/>
                <w:szCs w:val="18"/>
                <w:lang w:val="zh-CN" w:eastAsia="zh-CN" w:bidi="zh-CN"/>
              </w:rPr>
            </w:pPr>
            <w:r>
              <w:rPr>
                <w:rFonts w:hint="eastAsia" w:cs="Times New Roman"/>
                <w:color w:val="auto"/>
                <w:sz w:val="18"/>
                <w:szCs w:val="18"/>
                <w:lang w:val="en-US" w:eastAsia="zh-CN" w:bidi="zh-CN"/>
              </w:rPr>
              <w:t>开采</w:t>
            </w:r>
            <w:r>
              <w:rPr>
                <w:rFonts w:hint="default" w:ascii="Times New Roman" w:hAnsi="Times New Roman" w:cs="Times New Roman"/>
                <w:color w:val="auto"/>
                <w:sz w:val="18"/>
                <w:szCs w:val="18"/>
                <w:lang w:val="zh-CN" w:eastAsia="zh-CN" w:bidi="zh-CN"/>
              </w:rPr>
              <w:t>饰面用花岗岩</w:t>
            </w:r>
            <w:r>
              <w:rPr>
                <w:rFonts w:hint="eastAsia" w:cs="Times New Roman"/>
                <w:color w:val="auto"/>
                <w:sz w:val="18"/>
                <w:szCs w:val="18"/>
                <w:lang w:val="en-US" w:eastAsia="zh-CN" w:bidi="zh-CN"/>
              </w:rPr>
              <w:t>23</w:t>
            </w:r>
            <w:r>
              <w:rPr>
                <w:rFonts w:hint="eastAsia" w:cs="Times New Roman"/>
                <w:color w:val="auto"/>
                <w:sz w:val="18"/>
                <w:szCs w:val="18"/>
                <w:lang w:val="zh-CN" w:eastAsia="zh-CN" w:bidi="zh-CN"/>
              </w:rPr>
              <w:t>万立方米</w:t>
            </w:r>
            <w:r>
              <w:rPr>
                <w:rFonts w:hint="default" w:ascii="Times New Roman" w:hAnsi="Times New Roman" w:cs="Times New Roman"/>
                <w:color w:val="auto"/>
                <w:sz w:val="18"/>
                <w:szCs w:val="18"/>
                <w:lang w:val="zh-CN" w:eastAsia="zh-CN" w:bidi="zh-CN"/>
              </w:rPr>
              <w:t>/年</w:t>
            </w:r>
          </w:p>
        </w:tc>
        <w:tc>
          <w:tcPr>
            <w:tcW w:w="1583" w:type="dxa"/>
            <w:gridSpan w:val="3"/>
            <w:noWrap w:val="0"/>
            <w:vAlign w:val="center"/>
          </w:tcPr>
          <w:p w14:paraId="7FE67C3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4428" w:type="dxa"/>
            <w:gridSpan w:val="11"/>
            <w:noWrap w:val="0"/>
            <w:vAlign w:val="center"/>
          </w:tcPr>
          <w:p w14:paraId="08A780A0">
            <w:pPr>
              <w:adjustRightInd/>
              <w:snapToGrid/>
              <w:spacing w:line="240" w:lineRule="auto"/>
              <w:jc w:val="center"/>
              <w:rPr>
                <w:rFonts w:hint="default" w:ascii="Times New Roman" w:hAnsi="Times New Roman" w:cs="Times New Roman"/>
                <w:b/>
                <w:color w:val="auto"/>
                <w:sz w:val="18"/>
                <w:szCs w:val="18"/>
              </w:rPr>
            </w:pPr>
            <w:r>
              <w:rPr>
                <w:rFonts w:hint="eastAsia" w:cs="Times New Roman"/>
                <w:color w:val="auto"/>
                <w:sz w:val="18"/>
                <w:szCs w:val="18"/>
                <w:lang w:val="en-US" w:eastAsia="zh-CN" w:bidi="zh-CN"/>
              </w:rPr>
              <w:t>开采</w:t>
            </w:r>
            <w:r>
              <w:rPr>
                <w:rFonts w:hint="default" w:ascii="Times New Roman" w:hAnsi="Times New Roman" w:cs="Times New Roman"/>
                <w:color w:val="auto"/>
                <w:sz w:val="18"/>
                <w:szCs w:val="18"/>
                <w:lang w:val="zh-CN" w:eastAsia="zh-CN" w:bidi="zh-CN"/>
              </w:rPr>
              <w:t>饰面用花岗岩</w:t>
            </w:r>
            <w:r>
              <w:rPr>
                <w:rFonts w:hint="eastAsia" w:cs="Times New Roman"/>
                <w:color w:val="auto"/>
                <w:sz w:val="18"/>
                <w:szCs w:val="18"/>
                <w:lang w:val="en-US" w:eastAsia="zh-CN" w:bidi="zh-CN"/>
              </w:rPr>
              <w:t>23</w:t>
            </w:r>
            <w:r>
              <w:rPr>
                <w:rFonts w:hint="eastAsia" w:cs="Times New Roman"/>
                <w:color w:val="auto"/>
                <w:sz w:val="18"/>
                <w:szCs w:val="18"/>
                <w:lang w:val="zh-CN" w:eastAsia="zh-CN" w:bidi="zh-CN"/>
              </w:rPr>
              <w:t>万立方米</w:t>
            </w:r>
            <w:r>
              <w:rPr>
                <w:rFonts w:hint="default" w:ascii="Times New Roman" w:hAnsi="Times New Roman" w:cs="Times New Roman"/>
                <w:color w:val="auto"/>
                <w:sz w:val="18"/>
                <w:szCs w:val="18"/>
                <w:lang w:val="zh-CN" w:eastAsia="zh-CN" w:bidi="zh-CN"/>
              </w:rPr>
              <w:t>/年</w:t>
            </w:r>
          </w:p>
        </w:tc>
      </w:tr>
      <w:tr w14:paraId="4ADA4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4843B52E">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3E2CC749">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w:t>
            </w:r>
          </w:p>
          <w:p w14:paraId="06B4D9A9">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（万元）</w:t>
            </w:r>
          </w:p>
        </w:tc>
        <w:tc>
          <w:tcPr>
            <w:tcW w:w="1317" w:type="dxa"/>
            <w:gridSpan w:val="3"/>
            <w:noWrap w:val="0"/>
            <w:vAlign w:val="center"/>
          </w:tcPr>
          <w:p w14:paraId="013774B8">
            <w:pPr>
              <w:adjustRightInd/>
              <w:snapToGrid/>
              <w:spacing w:line="240" w:lineRule="auto"/>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22067.48</w:t>
            </w:r>
          </w:p>
        </w:tc>
        <w:tc>
          <w:tcPr>
            <w:tcW w:w="1778" w:type="dxa"/>
            <w:gridSpan w:val="6"/>
            <w:noWrap w:val="0"/>
            <w:vAlign w:val="center"/>
          </w:tcPr>
          <w:p w14:paraId="300C9AF6">
            <w:pPr>
              <w:adjustRightInd/>
              <w:snapToGrid/>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环保投资总概算</w:t>
            </w:r>
          </w:p>
          <w:p w14:paraId="56A68A61">
            <w:pPr>
              <w:adjustRightInd/>
              <w:snapToGrid/>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（万元）</w:t>
            </w:r>
          </w:p>
        </w:tc>
        <w:tc>
          <w:tcPr>
            <w:tcW w:w="1236" w:type="dxa"/>
            <w:gridSpan w:val="2"/>
            <w:noWrap w:val="0"/>
            <w:vAlign w:val="center"/>
          </w:tcPr>
          <w:p w14:paraId="000D199F">
            <w:pPr>
              <w:adjustRightInd/>
              <w:snapToGrid/>
              <w:spacing w:line="240" w:lineRule="auto"/>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6489.09</w:t>
            </w:r>
          </w:p>
        </w:tc>
        <w:tc>
          <w:tcPr>
            <w:tcW w:w="1558" w:type="dxa"/>
            <w:gridSpan w:val="3"/>
            <w:noWrap w:val="0"/>
            <w:vAlign w:val="center"/>
          </w:tcPr>
          <w:p w14:paraId="1134A606">
            <w:pPr>
              <w:adjustRightInd/>
              <w:snapToGrid/>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所占比例%</w:t>
            </w:r>
          </w:p>
        </w:tc>
        <w:tc>
          <w:tcPr>
            <w:tcW w:w="1583" w:type="dxa"/>
            <w:gridSpan w:val="3"/>
            <w:noWrap w:val="0"/>
            <w:vAlign w:val="center"/>
          </w:tcPr>
          <w:p w14:paraId="02A12D80">
            <w:pPr>
              <w:adjustRightInd/>
              <w:snapToGrid/>
              <w:spacing w:line="240" w:lineRule="auto"/>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29.4</w:t>
            </w:r>
          </w:p>
        </w:tc>
        <w:tc>
          <w:tcPr>
            <w:tcW w:w="1681" w:type="dxa"/>
            <w:gridSpan w:val="4"/>
            <w:noWrap w:val="0"/>
            <w:vAlign w:val="center"/>
          </w:tcPr>
          <w:p w14:paraId="56487875">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2747" w:type="dxa"/>
            <w:gridSpan w:val="7"/>
            <w:noWrap w:val="0"/>
            <w:vAlign w:val="center"/>
          </w:tcPr>
          <w:p w14:paraId="3C256AE4">
            <w:pPr>
              <w:adjustRightInd/>
              <w:snapToGrid/>
              <w:spacing w:line="240" w:lineRule="auto"/>
              <w:jc w:val="center"/>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w:t>
            </w:r>
          </w:p>
        </w:tc>
      </w:tr>
      <w:tr w14:paraId="757D6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60E1A5CB">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4474A51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实际总投资</w:t>
            </w:r>
          </w:p>
          <w:p w14:paraId="0522EDE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（万元）</w:t>
            </w:r>
          </w:p>
        </w:tc>
        <w:tc>
          <w:tcPr>
            <w:tcW w:w="1317" w:type="dxa"/>
            <w:gridSpan w:val="3"/>
            <w:noWrap w:val="0"/>
            <w:vAlign w:val="center"/>
          </w:tcPr>
          <w:p w14:paraId="275D2D81">
            <w:pPr>
              <w:adjustRightInd/>
              <w:snapToGrid/>
              <w:spacing w:line="240" w:lineRule="auto"/>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22067.48</w:t>
            </w:r>
          </w:p>
        </w:tc>
        <w:tc>
          <w:tcPr>
            <w:tcW w:w="1778" w:type="dxa"/>
            <w:gridSpan w:val="6"/>
            <w:noWrap w:val="0"/>
            <w:vAlign w:val="center"/>
          </w:tcPr>
          <w:p w14:paraId="14BAA090">
            <w:pPr>
              <w:adjustRightInd/>
              <w:snapToGrid/>
              <w:spacing w:line="240" w:lineRule="auto"/>
              <w:jc w:val="center"/>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实际环保投</w:t>
            </w:r>
          </w:p>
          <w:p w14:paraId="741D3C0E">
            <w:pPr>
              <w:adjustRightInd/>
              <w:snapToGrid/>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（万元）</w:t>
            </w:r>
          </w:p>
        </w:tc>
        <w:tc>
          <w:tcPr>
            <w:tcW w:w="1236" w:type="dxa"/>
            <w:gridSpan w:val="2"/>
            <w:noWrap w:val="0"/>
            <w:vAlign w:val="center"/>
          </w:tcPr>
          <w:p w14:paraId="06AAD28D">
            <w:pPr>
              <w:adjustRightInd/>
              <w:snapToGrid/>
              <w:spacing w:line="240" w:lineRule="auto"/>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2662</w:t>
            </w:r>
          </w:p>
        </w:tc>
        <w:tc>
          <w:tcPr>
            <w:tcW w:w="1558" w:type="dxa"/>
            <w:gridSpan w:val="3"/>
            <w:noWrap w:val="0"/>
            <w:vAlign w:val="center"/>
          </w:tcPr>
          <w:p w14:paraId="4739C711">
            <w:pPr>
              <w:adjustRightInd/>
              <w:snapToGrid/>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所占比例%</w:t>
            </w:r>
          </w:p>
        </w:tc>
        <w:tc>
          <w:tcPr>
            <w:tcW w:w="1583" w:type="dxa"/>
            <w:gridSpan w:val="3"/>
            <w:noWrap w:val="0"/>
            <w:vAlign w:val="center"/>
          </w:tcPr>
          <w:p w14:paraId="650498B4">
            <w:pPr>
              <w:adjustRightInd/>
              <w:snapToGrid/>
              <w:spacing w:line="240" w:lineRule="auto"/>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12.1</w:t>
            </w:r>
          </w:p>
        </w:tc>
        <w:tc>
          <w:tcPr>
            <w:tcW w:w="1681" w:type="dxa"/>
            <w:gridSpan w:val="4"/>
            <w:noWrap w:val="0"/>
            <w:vAlign w:val="center"/>
          </w:tcPr>
          <w:p w14:paraId="2F6A708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2747" w:type="dxa"/>
            <w:gridSpan w:val="7"/>
            <w:noWrap w:val="0"/>
            <w:vAlign w:val="center"/>
          </w:tcPr>
          <w:p w14:paraId="66BC3096">
            <w:pPr>
              <w:adjustRightInd/>
              <w:snapToGrid/>
              <w:spacing w:line="240" w:lineRule="auto"/>
              <w:jc w:val="center"/>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w:t>
            </w:r>
          </w:p>
        </w:tc>
      </w:tr>
      <w:tr w14:paraId="3759B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0F632E7B">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775A8DA0">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环评审批部门</w:t>
            </w:r>
          </w:p>
        </w:tc>
        <w:tc>
          <w:tcPr>
            <w:tcW w:w="2119" w:type="dxa"/>
            <w:gridSpan w:val="5"/>
            <w:noWrap w:val="0"/>
            <w:vAlign w:val="center"/>
          </w:tcPr>
          <w:p w14:paraId="3FE63B02">
            <w:pPr>
              <w:adjustRightInd/>
              <w:snapToGrid/>
              <w:spacing w:line="240" w:lineRule="auto"/>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黄冈市生态环境局</w:t>
            </w:r>
            <w:r>
              <w:rPr>
                <w:rFonts w:hint="eastAsia" w:cs="Times New Roman"/>
                <w:color w:val="auto"/>
                <w:sz w:val="18"/>
                <w:szCs w:val="18"/>
                <w:lang w:val="en-US" w:eastAsia="zh-CN"/>
              </w:rPr>
              <w:t>麻城市</w:t>
            </w:r>
            <w:r>
              <w:rPr>
                <w:rFonts w:hint="eastAsia" w:ascii="Times New Roman" w:hAnsi="Times New Roman" w:cs="Times New Roman"/>
                <w:color w:val="auto"/>
                <w:sz w:val="18"/>
                <w:szCs w:val="18"/>
                <w:lang w:eastAsia="zh-CN"/>
              </w:rPr>
              <w:t>分局</w:t>
            </w:r>
          </w:p>
        </w:tc>
        <w:tc>
          <w:tcPr>
            <w:tcW w:w="976" w:type="dxa"/>
            <w:gridSpan w:val="4"/>
            <w:noWrap w:val="0"/>
            <w:vAlign w:val="center"/>
          </w:tcPr>
          <w:p w14:paraId="7F6835F6">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批准文号</w:t>
            </w:r>
          </w:p>
        </w:tc>
        <w:tc>
          <w:tcPr>
            <w:tcW w:w="1236" w:type="dxa"/>
            <w:gridSpan w:val="2"/>
            <w:noWrap w:val="0"/>
            <w:vAlign w:val="center"/>
          </w:tcPr>
          <w:p w14:paraId="2ABF6AAF">
            <w:pPr>
              <w:adjustRightInd/>
              <w:snapToGrid/>
              <w:spacing w:line="240" w:lineRule="auto"/>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eastAsia="zh-CN"/>
              </w:rPr>
              <w:t>麻环审〔202</w:t>
            </w:r>
            <w:r>
              <w:rPr>
                <w:rFonts w:hint="eastAsia" w:cs="Times New Roman"/>
                <w:color w:val="auto"/>
                <w:sz w:val="18"/>
                <w:szCs w:val="18"/>
                <w:lang w:val="en-US" w:eastAsia="zh-CN"/>
              </w:rPr>
              <w:t>4</w:t>
            </w:r>
            <w:r>
              <w:rPr>
                <w:rFonts w:hint="eastAsia" w:cs="Times New Roman"/>
                <w:color w:val="auto"/>
                <w:sz w:val="18"/>
                <w:szCs w:val="18"/>
                <w:lang w:eastAsia="zh-CN"/>
              </w:rPr>
              <w:t>〕</w:t>
            </w:r>
            <w:r>
              <w:rPr>
                <w:rFonts w:hint="eastAsia" w:cs="Times New Roman"/>
                <w:color w:val="auto"/>
                <w:sz w:val="18"/>
                <w:szCs w:val="18"/>
                <w:lang w:val="en-US" w:eastAsia="zh-CN"/>
              </w:rPr>
              <w:t>20</w:t>
            </w:r>
            <w:r>
              <w:rPr>
                <w:rFonts w:hint="eastAsia" w:cs="Times New Roman"/>
                <w:color w:val="auto"/>
                <w:sz w:val="18"/>
                <w:szCs w:val="18"/>
                <w:lang w:eastAsia="zh-CN"/>
              </w:rPr>
              <w:t>号</w:t>
            </w:r>
          </w:p>
        </w:tc>
        <w:tc>
          <w:tcPr>
            <w:tcW w:w="1558" w:type="dxa"/>
            <w:gridSpan w:val="3"/>
            <w:noWrap w:val="0"/>
            <w:vAlign w:val="center"/>
          </w:tcPr>
          <w:p w14:paraId="5549E12E">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批准时间</w:t>
            </w:r>
          </w:p>
        </w:tc>
        <w:tc>
          <w:tcPr>
            <w:tcW w:w="1583" w:type="dxa"/>
            <w:gridSpan w:val="3"/>
            <w:noWrap w:val="0"/>
            <w:vAlign w:val="center"/>
          </w:tcPr>
          <w:p w14:paraId="22C5049F">
            <w:pPr>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2024.5.20</w:t>
            </w:r>
          </w:p>
        </w:tc>
        <w:tc>
          <w:tcPr>
            <w:tcW w:w="1681" w:type="dxa"/>
            <w:gridSpan w:val="4"/>
            <w:noWrap w:val="0"/>
            <w:vAlign w:val="center"/>
          </w:tcPr>
          <w:p w14:paraId="6A99392D">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2747" w:type="dxa"/>
            <w:gridSpan w:val="7"/>
            <w:noWrap w:val="0"/>
            <w:vAlign w:val="center"/>
          </w:tcPr>
          <w:p w14:paraId="2B3D96DA">
            <w:pPr>
              <w:adjustRightInd/>
              <w:snapToGrid/>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湖北黄达环保技术咨询有限公司</w:t>
            </w:r>
          </w:p>
        </w:tc>
      </w:tr>
      <w:tr w14:paraId="038E9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2C952D93">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10A3BC44">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初步设计审批部门</w:t>
            </w:r>
          </w:p>
        </w:tc>
        <w:tc>
          <w:tcPr>
            <w:tcW w:w="2119" w:type="dxa"/>
            <w:gridSpan w:val="5"/>
            <w:noWrap w:val="0"/>
            <w:vAlign w:val="center"/>
          </w:tcPr>
          <w:p w14:paraId="1D51A2A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976" w:type="dxa"/>
            <w:gridSpan w:val="4"/>
            <w:noWrap w:val="0"/>
            <w:vAlign w:val="center"/>
          </w:tcPr>
          <w:p w14:paraId="3A39E64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批准文号</w:t>
            </w:r>
          </w:p>
        </w:tc>
        <w:tc>
          <w:tcPr>
            <w:tcW w:w="1236" w:type="dxa"/>
            <w:gridSpan w:val="2"/>
            <w:noWrap w:val="0"/>
            <w:vAlign w:val="center"/>
          </w:tcPr>
          <w:p w14:paraId="119CB209">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558" w:type="dxa"/>
            <w:gridSpan w:val="3"/>
            <w:noWrap w:val="0"/>
            <w:vAlign w:val="center"/>
          </w:tcPr>
          <w:p w14:paraId="38500309">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批准时间</w:t>
            </w:r>
          </w:p>
        </w:tc>
        <w:tc>
          <w:tcPr>
            <w:tcW w:w="1583" w:type="dxa"/>
            <w:gridSpan w:val="3"/>
            <w:noWrap w:val="0"/>
            <w:vAlign w:val="center"/>
          </w:tcPr>
          <w:p w14:paraId="179A3F5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681" w:type="dxa"/>
            <w:gridSpan w:val="4"/>
            <w:vMerge w:val="restart"/>
            <w:noWrap w:val="0"/>
            <w:vAlign w:val="center"/>
          </w:tcPr>
          <w:p w14:paraId="0A49AA5C">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2747" w:type="dxa"/>
            <w:gridSpan w:val="7"/>
            <w:vMerge w:val="restart"/>
            <w:noWrap w:val="0"/>
            <w:vAlign w:val="center"/>
          </w:tcPr>
          <w:p w14:paraId="3AB179C5">
            <w:pPr>
              <w:adjustRightInd/>
              <w:snapToGrid/>
              <w:spacing w:line="240" w:lineRule="auto"/>
              <w:jc w:val="center"/>
              <w:rPr>
                <w:rFonts w:hint="default" w:ascii="Times New Roman" w:hAnsi="Times New Roman" w:eastAsia="宋体" w:cs="Times New Roman"/>
                <w:color w:val="auto"/>
                <w:sz w:val="18"/>
                <w:szCs w:val="18"/>
                <w:lang w:eastAsia="zh-CN"/>
              </w:rPr>
            </w:pPr>
            <w:r>
              <w:rPr>
                <w:rFonts w:hint="eastAsia" w:cs="Times New Roman"/>
                <w:color w:val="auto"/>
                <w:sz w:val="18"/>
                <w:szCs w:val="18"/>
                <w:lang w:eastAsia="zh-CN"/>
              </w:rPr>
              <w:t>博创检测（湖北）有限公司</w:t>
            </w:r>
          </w:p>
        </w:tc>
      </w:tr>
      <w:tr w14:paraId="3809E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7B17FFC6">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180C9DE5">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环保验收审批部门</w:t>
            </w:r>
          </w:p>
        </w:tc>
        <w:tc>
          <w:tcPr>
            <w:tcW w:w="2119" w:type="dxa"/>
            <w:gridSpan w:val="5"/>
            <w:noWrap w:val="0"/>
            <w:vAlign w:val="center"/>
          </w:tcPr>
          <w:p w14:paraId="78F6D1A8">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976" w:type="dxa"/>
            <w:gridSpan w:val="4"/>
            <w:noWrap w:val="0"/>
            <w:vAlign w:val="center"/>
          </w:tcPr>
          <w:p w14:paraId="79FBAC0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批准文号</w:t>
            </w:r>
          </w:p>
        </w:tc>
        <w:tc>
          <w:tcPr>
            <w:tcW w:w="1236" w:type="dxa"/>
            <w:gridSpan w:val="2"/>
            <w:noWrap w:val="0"/>
            <w:vAlign w:val="center"/>
          </w:tcPr>
          <w:p w14:paraId="5CA0D505">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558" w:type="dxa"/>
            <w:gridSpan w:val="3"/>
            <w:noWrap w:val="0"/>
            <w:vAlign w:val="center"/>
          </w:tcPr>
          <w:p w14:paraId="241F57E6">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批准时间</w:t>
            </w:r>
          </w:p>
        </w:tc>
        <w:tc>
          <w:tcPr>
            <w:tcW w:w="1583" w:type="dxa"/>
            <w:gridSpan w:val="3"/>
            <w:noWrap w:val="0"/>
            <w:vAlign w:val="center"/>
          </w:tcPr>
          <w:p w14:paraId="64F268EE">
            <w:pPr>
              <w:adjustRightInd/>
              <w:snapToGrid/>
              <w:spacing w:line="240" w:lineRule="auto"/>
              <w:jc w:val="center"/>
              <w:rPr>
                <w:rFonts w:hint="default" w:ascii="Times New Roman" w:hAnsi="Times New Roman" w:cs="Times New Roman"/>
                <w:color w:val="FF0000"/>
                <w:sz w:val="18"/>
                <w:szCs w:val="18"/>
              </w:rPr>
            </w:pPr>
            <w:r>
              <w:rPr>
                <w:rFonts w:hint="default" w:ascii="Times New Roman" w:hAnsi="Times New Roman" w:cs="Times New Roman"/>
                <w:color w:val="FF0000"/>
                <w:sz w:val="18"/>
                <w:szCs w:val="18"/>
              </w:rPr>
              <w:t>/</w:t>
            </w:r>
          </w:p>
        </w:tc>
        <w:tc>
          <w:tcPr>
            <w:tcW w:w="1681" w:type="dxa"/>
            <w:gridSpan w:val="4"/>
            <w:vMerge w:val="continue"/>
            <w:noWrap w:val="0"/>
            <w:vAlign w:val="center"/>
          </w:tcPr>
          <w:p w14:paraId="55C849E7">
            <w:pPr>
              <w:adjustRightInd/>
              <w:snapToGrid/>
              <w:spacing w:line="240" w:lineRule="auto"/>
              <w:jc w:val="center"/>
              <w:rPr>
                <w:rFonts w:hint="default" w:ascii="Times New Roman" w:hAnsi="Times New Roman" w:cs="Times New Roman"/>
                <w:color w:val="FF0000"/>
                <w:sz w:val="18"/>
                <w:szCs w:val="18"/>
              </w:rPr>
            </w:pPr>
          </w:p>
        </w:tc>
        <w:tc>
          <w:tcPr>
            <w:tcW w:w="2747" w:type="dxa"/>
            <w:gridSpan w:val="7"/>
            <w:vMerge w:val="continue"/>
            <w:noWrap w:val="0"/>
            <w:vAlign w:val="center"/>
          </w:tcPr>
          <w:p w14:paraId="36DDF42C">
            <w:pPr>
              <w:adjustRightInd/>
              <w:snapToGrid/>
              <w:spacing w:line="240" w:lineRule="auto"/>
              <w:jc w:val="center"/>
              <w:rPr>
                <w:rFonts w:hint="default" w:ascii="Times New Roman" w:hAnsi="Times New Roman" w:cs="Times New Roman"/>
                <w:color w:val="FF0000"/>
                <w:sz w:val="18"/>
                <w:szCs w:val="18"/>
              </w:rPr>
            </w:pPr>
          </w:p>
        </w:tc>
      </w:tr>
      <w:tr w14:paraId="244E1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37FB66AE">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0AE8B041">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692" w:type="dxa"/>
            <w:noWrap w:val="0"/>
            <w:vAlign w:val="center"/>
          </w:tcPr>
          <w:p w14:paraId="4471C04E">
            <w:pPr>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highlight w:val="none"/>
                <w:lang w:val="en-US" w:eastAsia="zh-CN"/>
              </w:rPr>
              <w:t>750</w:t>
            </w:r>
          </w:p>
        </w:tc>
        <w:tc>
          <w:tcPr>
            <w:tcW w:w="1610" w:type="dxa"/>
            <w:gridSpan w:val="6"/>
            <w:noWrap w:val="0"/>
            <w:vAlign w:val="center"/>
          </w:tcPr>
          <w:p w14:paraId="654C6EC1">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万元</w:t>
            </w:r>
            <w:r>
              <w:rPr>
                <w:rFonts w:hint="default" w:ascii="Times New Roman" w:hAnsi="Times New Roman" w:cs="Times New Roman"/>
                <w:color w:val="auto"/>
                <w:sz w:val="18"/>
                <w:szCs w:val="18"/>
                <w:lang w:eastAsia="zh-CN"/>
              </w:rPr>
              <w:t>）</w:t>
            </w:r>
          </w:p>
        </w:tc>
        <w:tc>
          <w:tcPr>
            <w:tcW w:w="793" w:type="dxa"/>
            <w:gridSpan w:val="2"/>
            <w:noWrap w:val="0"/>
            <w:vAlign w:val="center"/>
          </w:tcPr>
          <w:p w14:paraId="0F8CE2D5">
            <w:pPr>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w:t>
            </w:r>
          </w:p>
        </w:tc>
        <w:tc>
          <w:tcPr>
            <w:tcW w:w="1456" w:type="dxa"/>
            <w:gridSpan w:val="3"/>
            <w:noWrap w:val="0"/>
            <w:vAlign w:val="center"/>
          </w:tcPr>
          <w:p w14:paraId="6B9941B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万元</w:t>
            </w:r>
            <w:r>
              <w:rPr>
                <w:rFonts w:hint="default" w:ascii="Times New Roman" w:hAnsi="Times New Roman" w:cs="Times New Roman"/>
                <w:color w:val="auto"/>
                <w:sz w:val="18"/>
                <w:szCs w:val="18"/>
                <w:lang w:eastAsia="zh-CN"/>
              </w:rPr>
              <w:t>）</w:t>
            </w:r>
          </w:p>
        </w:tc>
        <w:tc>
          <w:tcPr>
            <w:tcW w:w="862" w:type="dxa"/>
            <w:noWrap w:val="0"/>
            <w:vAlign w:val="center"/>
          </w:tcPr>
          <w:p w14:paraId="1B5A7FC2">
            <w:pPr>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w:t>
            </w:r>
          </w:p>
        </w:tc>
        <w:tc>
          <w:tcPr>
            <w:tcW w:w="1584" w:type="dxa"/>
            <w:gridSpan w:val="3"/>
            <w:noWrap w:val="0"/>
            <w:vAlign w:val="center"/>
          </w:tcPr>
          <w:p w14:paraId="0EC1581C">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万元</w:t>
            </w:r>
            <w:r>
              <w:rPr>
                <w:rFonts w:hint="default" w:ascii="Times New Roman" w:hAnsi="Times New Roman" w:cs="Times New Roman"/>
                <w:color w:val="auto"/>
                <w:sz w:val="18"/>
                <w:szCs w:val="18"/>
                <w:lang w:eastAsia="zh-CN"/>
              </w:rPr>
              <w:t>）</w:t>
            </w:r>
          </w:p>
        </w:tc>
        <w:tc>
          <w:tcPr>
            <w:tcW w:w="627" w:type="dxa"/>
            <w:gridSpan w:val="2"/>
            <w:noWrap w:val="0"/>
            <w:vAlign w:val="center"/>
          </w:tcPr>
          <w:p w14:paraId="48CD66AF">
            <w:pPr>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w:t>
            </w:r>
          </w:p>
        </w:tc>
        <w:tc>
          <w:tcPr>
            <w:tcW w:w="1703" w:type="dxa"/>
            <w:gridSpan w:val="4"/>
            <w:noWrap w:val="0"/>
            <w:vAlign w:val="center"/>
          </w:tcPr>
          <w:p w14:paraId="3CE76404">
            <w:pPr>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绿化及生态（万元）</w:t>
            </w:r>
          </w:p>
        </w:tc>
        <w:tc>
          <w:tcPr>
            <w:tcW w:w="665" w:type="dxa"/>
            <w:gridSpan w:val="2"/>
            <w:noWrap w:val="0"/>
            <w:vAlign w:val="center"/>
          </w:tcPr>
          <w:p w14:paraId="5CFD401F">
            <w:pPr>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1883</w:t>
            </w:r>
          </w:p>
        </w:tc>
        <w:tc>
          <w:tcPr>
            <w:tcW w:w="1301" w:type="dxa"/>
            <w:gridSpan w:val="3"/>
            <w:noWrap w:val="0"/>
            <w:vAlign w:val="center"/>
          </w:tcPr>
          <w:p w14:paraId="1A0FDF7B">
            <w:pPr>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其它（万元）</w:t>
            </w:r>
          </w:p>
        </w:tc>
        <w:tc>
          <w:tcPr>
            <w:tcW w:w="607" w:type="dxa"/>
            <w:noWrap w:val="0"/>
            <w:vAlign w:val="center"/>
          </w:tcPr>
          <w:p w14:paraId="48CBA5AF">
            <w:pPr>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w:t>
            </w:r>
          </w:p>
        </w:tc>
      </w:tr>
      <w:tr w14:paraId="212EA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restart"/>
            <w:noWrap w:val="0"/>
            <w:vAlign w:val="center"/>
          </w:tcPr>
          <w:p w14:paraId="14DEBDD2">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污染物排放达标与总量控制</w:t>
            </w:r>
          </w:p>
          <w:p w14:paraId="487AFB35">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工业建设项目详填</w:t>
            </w:r>
            <w:r>
              <w:rPr>
                <w:rFonts w:hint="default" w:ascii="Times New Roman" w:hAnsi="Times New Roman" w:cs="Times New Roman"/>
                <w:color w:val="auto"/>
                <w:sz w:val="18"/>
                <w:szCs w:val="18"/>
                <w:lang w:eastAsia="zh-CN"/>
              </w:rPr>
              <w:t>）</w:t>
            </w:r>
          </w:p>
        </w:tc>
        <w:tc>
          <w:tcPr>
            <w:tcW w:w="1561" w:type="dxa"/>
            <w:noWrap w:val="0"/>
            <w:vAlign w:val="center"/>
          </w:tcPr>
          <w:p w14:paraId="05821D5C">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1085" w:type="dxa"/>
            <w:gridSpan w:val="2"/>
            <w:noWrap w:val="0"/>
            <w:vAlign w:val="center"/>
          </w:tcPr>
          <w:p w14:paraId="443BB81C">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eastAsia="zh-CN"/>
              </w:rPr>
              <w:t>）</w:t>
            </w:r>
          </w:p>
        </w:tc>
        <w:tc>
          <w:tcPr>
            <w:tcW w:w="1082" w:type="dxa"/>
            <w:gridSpan w:val="4"/>
            <w:noWrap w:val="0"/>
            <w:vAlign w:val="center"/>
          </w:tcPr>
          <w:p w14:paraId="03D27769">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2</w:t>
            </w:r>
            <w:r>
              <w:rPr>
                <w:rFonts w:hint="default" w:ascii="Times New Roman" w:hAnsi="Times New Roman" w:cs="Times New Roman"/>
                <w:color w:val="auto"/>
                <w:sz w:val="18"/>
                <w:szCs w:val="18"/>
                <w:lang w:eastAsia="zh-CN"/>
              </w:rPr>
              <w:t>）</w:t>
            </w:r>
          </w:p>
        </w:tc>
        <w:tc>
          <w:tcPr>
            <w:tcW w:w="1082" w:type="dxa"/>
            <w:gridSpan w:val="4"/>
            <w:noWrap w:val="0"/>
            <w:vAlign w:val="center"/>
          </w:tcPr>
          <w:p w14:paraId="105D561E">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3</w:t>
            </w:r>
            <w:r>
              <w:rPr>
                <w:rFonts w:hint="default" w:ascii="Times New Roman" w:hAnsi="Times New Roman" w:cs="Times New Roman"/>
                <w:color w:val="auto"/>
                <w:sz w:val="18"/>
                <w:szCs w:val="18"/>
                <w:lang w:eastAsia="zh-CN"/>
              </w:rPr>
              <w:t>）</w:t>
            </w:r>
          </w:p>
        </w:tc>
        <w:tc>
          <w:tcPr>
            <w:tcW w:w="1082" w:type="dxa"/>
            <w:noWrap w:val="0"/>
            <w:vAlign w:val="center"/>
          </w:tcPr>
          <w:p w14:paraId="50A4D112">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w:t>
            </w:r>
          </w:p>
          <w:p w14:paraId="1B5B3D61">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产生量</w:t>
            </w:r>
          </w:p>
          <w:p w14:paraId="1E85AF81">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082" w:type="dxa"/>
            <w:gridSpan w:val="2"/>
            <w:noWrap w:val="0"/>
            <w:vAlign w:val="center"/>
          </w:tcPr>
          <w:p w14:paraId="46721DC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本期工程自身削减量</w:t>
            </w:r>
          </w:p>
          <w:p w14:paraId="0B576E7C">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81" w:type="dxa"/>
            <w:gridSpan w:val="2"/>
            <w:noWrap w:val="0"/>
            <w:vAlign w:val="center"/>
          </w:tcPr>
          <w:p w14:paraId="25829624">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w:t>
            </w:r>
          </w:p>
          <w:p w14:paraId="33A0C2F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78" w:type="dxa"/>
            <w:gridSpan w:val="2"/>
            <w:noWrap w:val="0"/>
            <w:vAlign w:val="center"/>
          </w:tcPr>
          <w:p w14:paraId="64B06B3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7</w:t>
            </w:r>
            <w:r>
              <w:rPr>
                <w:rFonts w:hint="default" w:ascii="Times New Roman" w:hAnsi="Times New Roman" w:cs="Times New Roman"/>
                <w:color w:val="auto"/>
                <w:sz w:val="18"/>
                <w:szCs w:val="18"/>
                <w:lang w:eastAsia="zh-CN"/>
              </w:rPr>
              <w:t>）</w:t>
            </w:r>
          </w:p>
        </w:tc>
        <w:tc>
          <w:tcPr>
            <w:tcW w:w="1275" w:type="dxa"/>
            <w:gridSpan w:val="2"/>
            <w:noWrap w:val="0"/>
            <w:vAlign w:val="center"/>
          </w:tcPr>
          <w:p w14:paraId="59A2EFBA">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w:t>
            </w:r>
          </w:p>
          <w:p w14:paraId="43BFE1E1">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以新带老”削减量</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8</w:t>
            </w:r>
            <w:r>
              <w:rPr>
                <w:rFonts w:hint="default" w:ascii="Times New Roman" w:hAnsi="Times New Roman" w:cs="Times New Roman"/>
                <w:color w:val="auto"/>
                <w:sz w:val="18"/>
                <w:szCs w:val="18"/>
                <w:lang w:eastAsia="zh-CN"/>
              </w:rPr>
              <w:t>）</w:t>
            </w:r>
          </w:p>
        </w:tc>
        <w:tc>
          <w:tcPr>
            <w:tcW w:w="993" w:type="dxa"/>
            <w:gridSpan w:val="4"/>
            <w:noWrap w:val="0"/>
            <w:vAlign w:val="center"/>
          </w:tcPr>
          <w:p w14:paraId="1B75C38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w:t>
            </w:r>
          </w:p>
          <w:p w14:paraId="7365E71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排放总量</w:t>
            </w:r>
          </w:p>
          <w:p w14:paraId="0B00196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1081" w:type="dxa"/>
            <w:gridSpan w:val="3"/>
            <w:noWrap w:val="0"/>
            <w:vAlign w:val="center"/>
          </w:tcPr>
          <w:p w14:paraId="52A892EA">
            <w:pPr>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区域平衡替代削减量</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lang w:eastAsia="zh-CN"/>
              </w:rPr>
              <w:t>）</w:t>
            </w:r>
          </w:p>
        </w:tc>
        <w:tc>
          <w:tcPr>
            <w:tcW w:w="1079" w:type="dxa"/>
            <w:gridSpan w:val="2"/>
            <w:noWrap w:val="0"/>
            <w:vAlign w:val="center"/>
          </w:tcPr>
          <w:p w14:paraId="228E4DA2">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11</w:t>
            </w:r>
            <w:r>
              <w:rPr>
                <w:rFonts w:hint="default" w:ascii="Times New Roman" w:hAnsi="Times New Roman" w:cs="Times New Roman"/>
                <w:color w:val="auto"/>
                <w:sz w:val="18"/>
                <w:szCs w:val="18"/>
                <w:lang w:eastAsia="zh-CN"/>
              </w:rPr>
              <w:t>）</w:t>
            </w:r>
          </w:p>
        </w:tc>
      </w:tr>
      <w:tr w14:paraId="2A3D5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63CD6BED">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00064779">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085" w:type="dxa"/>
            <w:gridSpan w:val="2"/>
            <w:noWrap w:val="0"/>
            <w:vAlign w:val="center"/>
          </w:tcPr>
          <w:p w14:paraId="1F87C319">
            <w:pPr>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0B47E5BE">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1F9B2D8C">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noWrap w:val="0"/>
            <w:vAlign w:val="center"/>
          </w:tcPr>
          <w:p w14:paraId="3A236EB6">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2"/>
            <w:noWrap w:val="0"/>
            <w:vAlign w:val="center"/>
          </w:tcPr>
          <w:p w14:paraId="29F2DF36">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2"/>
            <w:noWrap w:val="0"/>
            <w:vAlign w:val="center"/>
          </w:tcPr>
          <w:p w14:paraId="6AAD5E2D">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78" w:type="dxa"/>
            <w:gridSpan w:val="2"/>
            <w:noWrap w:val="0"/>
            <w:vAlign w:val="center"/>
          </w:tcPr>
          <w:p w14:paraId="2EF760A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275" w:type="dxa"/>
            <w:gridSpan w:val="2"/>
            <w:noWrap w:val="0"/>
            <w:vAlign w:val="center"/>
          </w:tcPr>
          <w:p w14:paraId="20BDD05F">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93" w:type="dxa"/>
            <w:gridSpan w:val="4"/>
            <w:noWrap w:val="0"/>
            <w:vAlign w:val="center"/>
          </w:tcPr>
          <w:p w14:paraId="59CD894A">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3"/>
            <w:noWrap w:val="0"/>
            <w:vAlign w:val="center"/>
          </w:tcPr>
          <w:p w14:paraId="73273971">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79" w:type="dxa"/>
            <w:gridSpan w:val="2"/>
            <w:noWrap w:val="0"/>
            <w:vAlign w:val="center"/>
          </w:tcPr>
          <w:p w14:paraId="20B61329">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r>
      <w:tr w14:paraId="5FBFBE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11EEAB8C">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1DEB6994">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1085" w:type="dxa"/>
            <w:gridSpan w:val="2"/>
            <w:noWrap w:val="0"/>
            <w:vAlign w:val="center"/>
          </w:tcPr>
          <w:p w14:paraId="7F1D06C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771EC24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6EFDFF4A">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noWrap w:val="0"/>
            <w:vAlign w:val="center"/>
          </w:tcPr>
          <w:p w14:paraId="1B2B480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2"/>
            <w:noWrap w:val="0"/>
            <w:vAlign w:val="center"/>
          </w:tcPr>
          <w:p w14:paraId="7EBF70CE">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2"/>
            <w:noWrap w:val="0"/>
            <w:vAlign w:val="center"/>
          </w:tcPr>
          <w:p w14:paraId="6A9D7BE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78" w:type="dxa"/>
            <w:gridSpan w:val="2"/>
            <w:noWrap w:val="0"/>
            <w:vAlign w:val="center"/>
          </w:tcPr>
          <w:p w14:paraId="541D75A4">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275" w:type="dxa"/>
            <w:gridSpan w:val="2"/>
            <w:noWrap w:val="0"/>
            <w:vAlign w:val="center"/>
          </w:tcPr>
          <w:p w14:paraId="78FB3CD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93" w:type="dxa"/>
            <w:gridSpan w:val="4"/>
            <w:noWrap w:val="0"/>
            <w:vAlign w:val="center"/>
          </w:tcPr>
          <w:p w14:paraId="4B342039">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3"/>
            <w:noWrap w:val="0"/>
            <w:vAlign w:val="center"/>
          </w:tcPr>
          <w:p w14:paraId="3F732D96">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79" w:type="dxa"/>
            <w:gridSpan w:val="2"/>
            <w:noWrap w:val="0"/>
            <w:vAlign w:val="center"/>
          </w:tcPr>
          <w:p w14:paraId="71DC008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r>
      <w:tr w14:paraId="7AF92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177CF0ED">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674EF1EE">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氨氮</w:t>
            </w:r>
          </w:p>
        </w:tc>
        <w:tc>
          <w:tcPr>
            <w:tcW w:w="1085" w:type="dxa"/>
            <w:gridSpan w:val="2"/>
            <w:noWrap w:val="0"/>
            <w:vAlign w:val="center"/>
          </w:tcPr>
          <w:p w14:paraId="60D7FFA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38BC6A0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1A8C707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noWrap w:val="0"/>
            <w:vAlign w:val="center"/>
          </w:tcPr>
          <w:p w14:paraId="41980C2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2"/>
            <w:noWrap w:val="0"/>
            <w:vAlign w:val="center"/>
          </w:tcPr>
          <w:p w14:paraId="61D270E4">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2"/>
            <w:noWrap w:val="0"/>
            <w:vAlign w:val="center"/>
          </w:tcPr>
          <w:p w14:paraId="056E194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78" w:type="dxa"/>
            <w:gridSpan w:val="2"/>
            <w:noWrap w:val="0"/>
            <w:vAlign w:val="center"/>
          </w:tcPr>
          <w:p w14:paraId="514FCFE4">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275" w:type="dxa"/>
            <w:gridSpan w:val="2"/>
            <w:noWrap w:val="0"/>
            <w:vAlign w:val="center"/>
          </w:tcPr>
          <w:p w14:paraId="18F0387F">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93" w:type="dxa"/>
            <w:gridSpan w:val="4"/>
            <w:noWrap w:val="0"/>
            <w:vAlign w:val="center"/>
          </w:tcPr>
          <w:p w14:paraId="186FAB6D">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3"/>
            <w:noWrap w:val="0"/>
            <w:vAlign w:val="center"/>
          </w:tcPr>
          <w:p w14:paraId="2CDB582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79" w:type="dxa"/>
            <w:gridSpan w:val="2"/>
            <w:noWrap w:val="0"/>
            <w:vAlign w:val="center"/>
          </w:tcPr>
          <w:p w14:paraId="0D659FB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r>
      <w:tr w14:paraId="5DBE6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55BF4D2D">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7DA9C86A">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1085" w:type="dxa"/>
            <w:gridSpan w:val="2"/>
            <w:noWrap w:val="0"/>
            <w:vAlign w:val="center"/>
          </w:tcPr>
          <w:p w14:paraId="32B1D32C">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0A050D09">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4F749A4A">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noWrap w:val="0"/>
            <w:vAlign w:val="center"/>
          </w:tcPr>
          <w:p w14:paraId="73AD691C">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2"/>
            <w:noWrap w:val="0"/>
            <w:vAlign w:val="center"/>
          </w:tcPr>
          <w:p w14:paraId="38AE4C9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2"/>
            <w:noWrap w:val="0"/>
            <w:vAlign w:val="center"/>
          </w:tcPr>
          <w:p w14:paraId="30571F1F">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78" w:type="dxa"/>
            <w:gridSpan w:val="2"/>
            <w:noWrap w:val="0"/>
            <w:vAlign w:val="center"/>
          </w:tcPr>
          <w:p w14:paraId="0E15EA78">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275" w:type="dxa"/>
            <w:gridSpan w:val="2"/>
            <w:noWrap w:val="0"/>
            <w:vAlign w:val="center"/>
          </w:tcPr>
          <w:p w14:paraId="656AA22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93" w:type="dxa"/>
            <w:gridSpan w:val="4"/>
            <w:noWrap w:val="0"/>
            <w:vAlign w:val="center"/>
          </w:tcPr>
          <w:p w14:paraId="4BFA577C">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3"/>
            <w:noWrap w:val="0"/>
            <w:vAlign w:val="center"/>
          </w:tcPr>
          <w:p w14:paraId="710A980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79" w:type="dxa"/>
            <w:gridSpan w:val="2"/>
            <w:noWrap w:val="0"/>
            <w:vAlign w:val="center"/>
          </w:tcPr>
          <w:p w14:paraId="4D76802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r>
      <w:tr w14:paraId="57779B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7E1B26C8">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58C6C308">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085" w:type="dxa"/>
            <w:gridSpan w:val="2"/>
            <w:noWrap w:val="0"/>
            <w:vAlign w:val="center"/>
          </w:tcPr>
          <w:p w14:paraId="2855C6B9">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036454D6">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59D2C4D5">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noWrap w:val="0"/>
            <w:vAlign w:val="center"/>
          </w:tcPr>
          <w:p w14:paraId="19C6B1EE">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2"/>
            <w:noWrap w:val="0"/>
            <w:vAlign w:val="center"/>
          </w:tcPr>
          <w:p w14:paraId="09B1CF8A">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2"/>
            <w:noWrap w:val="0"/>
            <w:vAlign w:val="center"/>
          </w:tcPr>
          <w:p w14:paraId="295CF0CC">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78" w:type="dxa"/>
            <w:gridSpan w:val="2"/>
            <w:noWrap w:val="0"/>
            <w:vAlign w:val="center"/>
          </w:tcPr>
          <w:p w14:paraId="1063F73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275" w:type="dxa"/>
            <w:gridSpan w:val="2"/>
            <w:noWrap w:val="0"/>
            <w:vAlign w:val="center"/>
          </w:tcPr>
          <w:p w14:paraId="60D814CD">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93" w:type="dxa"/>
            <w:gridSpan w:val="4"/>
            <w:noWrap w:val="0"/>
            <w:vAlign w:val="center"/>
          </w:tcPr>
          <w:p w14:paraId="0E7E4C8E">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3"/>
            <w:noWrap w:val="0"/>
            <w:vAlign w:val="center"/>
          </w:tcPr>
          <w:p w14:paraId="7989B702">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79" w:type="dxa"/>
            <w:gridSpan w:val="2"/>
            <w:noWrap w:val="0"/>
            <w:vAlign w:val="center"/>
          </w:tcPr>
          <w:p w14:paraId="6D491C2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r>
      <w:tr w14:paraId="0E6E5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06491087">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76D83782">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1085" w:type="dxa"/>
            <w:gridSpan w:val="2"/>
            <w:noWrap w:val="0"/>
            <w:vAlign w:val="center"/>
          </w:tcPr>
          <w:p w14:paraId="07B75A79">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5852CCA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3F07CE68">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noWrap w:val="0"/>
            <w:vAlign w:val="center"/>
          </w:tcPr>
          <w:p w14:paraId="0B7A6C5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2"/>
            <w:noWrap w:val="0"/>
            <w:vAlign w:val="center"/>
          </w:tcPr>
          <w:p w14:paraId="72537E2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2"/>
            <w:noWrap w:val="0"/>
            <w:vAlign w:val="center"/>
          </w:tcPr>
          <w:p w14:paraId="5D0E4CB4">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78" w:type="dxa"/>
            <w:gridSpan w:val="2"/>
            <w:noWrap w:val="0"/>
            <w:vAlign w:val="center"/>
          </w:tcPr>
          <w:p w14:paraId="32D4DE05">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275" w:type="dxa"/>
            <w:gridSpan w:val="2"/>
            <w:noWrap w:val="0"/>
            <w:vAlign w:val="center"/>
          </w:tcPr>
          <w:p w14:paraId="4E69317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93" w:type="dxa"/>
            <w:gridSpan w:val="4"/>
            <w:noWrap w:val="0"/>
            <w:vAlign w:val="center"/>
          </w:tcPr>
          <w:p w14:paraId="3CE86F0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3"/>
            <w:noWrap w:val="0"/>
            <w:vAlign w:val="center"/>
          </w:tcPr>
          <w:p w14:paraId="0BAD7FB2">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79" w:type="dxa"/>
            <w:gridSpan w:val="2"/>
            <w:noWrap w:val="0"/>
            <w:vAlign w:val="center"/>
          </w:tcPr>
          <w:p w14:paraId="2B86C815">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r>
      <w:tr w14:paraId="20352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410C950E">
            <w:pPr>
              <w:adjustRightInd/>
              <w:snapToGrid/>
              <w:spacing w:line="240" w:lineRule="auto"/>
              <w:jc w:val="center"/>
              <w:rPr>
                <w:rFonts w:hint="default" w:ascii="Times New Roman" w:hAnsi="Times New Roman" w:cs="Times New Roman"/>
                <w:color w:val="auto"/>
                <w:sz w:val="18"/>
                <w:szCs w:val="18"/>
              </w:rPr>
            </w:pPr>
          </w:p>
        </w:tc>
        <w:tc>
          <w:tcPr>
            <w:tcW w:w="1561" w:type="dxa"/>
            <w:noWrap w:val="0"/>
            <w:vAlign w:val="center"/>
          </w:tcPr>
          <w:p w14:paraId="3C19A3F4">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1085" w:type="dxa"/>
            <w:gridSpan w:val="2"/>
            <w:noWrap w:val="0"/>
            <w:vAlign w:val="center"/>
          </w:tcPr>
          <w:p w14:paraId="153763D2">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600860C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13A87DA0">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noWrap w:val="0"/>
            <w:vAlign w:val="center"/>
          </w:tcPr>
          <w:p w14:paraId="51D9698E">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2"/>
            <w:noWrap w:val="0"/>
            <w:vAlign w:val="center"/>
          </w:tcPr>
          <w:p w14:paraId="4D100589">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2"/>
            <w:noWrap w:val="0"/>
            <w:vAlign w:val="center"/>
          </w:tcPr>
          <w:p w14:paraId="28BDD26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78" w:type="dxa"/>
            <w:gridSpan w:val="2"/>
            <w:noWrap w:val="0"/>
            <w:vAlign w:val="center"/>
          </w:tcPr>
          <w:p w14:paraId="00B61CB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275" w:type="dxa"/>
            <w:gridSpan w:val="2"/>
            <w:noWrap w:val="0"/>
            <w:vAlign w:val="center"/>
          </w:tcPr>
          <w:p w14:paraId="38BF9E1F">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93" w:type="dxa"/>
            <w:gridSpan w:val="4"/>
            <w:noWrap w:val="0"/>
            <w:vAlign w:val="center"/>
          </w:tcPr>
          <w:p w14:paraId="6BAE3588">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3"/>
            <w:noWrap w:val="0"/>
            <w:vAlign w:val="center"/>
          </w:tcPr>
          <w:p w14:paraId="36C05F1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79" w:type="dxa"/>
            <w:gridSpan w:val="2"/>
            <w:noWrap w:val="0"/>
            <w:vAlign w:val="center"/>
          </w:tcPr>
          <w:p w14:paraId="6EB07FC0">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r>
      <w:tr w14:paraId="4879F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5F3C8914">
            <w:pPr>
              <w:adjustRightInd/>
              <w:snapToGrid/>
              <w:spacing w:line="240" w:lineRule="auto"/>
              <w:jc w:val="center"/>
              <w:rPr>
                <w:rFonts w:hint="default" w:ascii="Times New Roman" w:hAnsi="Times New Roman" w:cs="Times New Roman"/>
                <w:color w:val="auto"/>
                <w:sz w:val="18"/>
                <w:szCs w:val="18"/>
              </w:rPr>
            </w:pPr>
          </w:p>
        </w:tc>
        <w:tc>
          <w:tcPr>
            <w:tcW w:w="1561" w:type="dxa"/>
            <w:vMerge w:val="restart"/>
            <w:noWrap w:val="0"/>
            <w:vAlign w:val="center"/>
          </w:tcPr>
          <w:p w14:paraId="04DDF81F">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与项目有关的其</w:t>
            </w:r>
          </w:p>
          <w:p w14:paraId="61B3D21F">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它特征污染物</w:t>
            </w:r>
          </w:p>
        </w:tc>
        <w:tc>
          <w:tcPr>
            <w:tcW w:w="1085" w:type="dxa"/>
            <w:gridSpan w:val="2"/>
            <w:noWrap w:val="0"/>
            <w:vAlign w:val="center"/>
          </w:tcPr>
          <w:p w14:paraId="771A0EB6">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1BCA4CA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64BE1155">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noWrap w:val="0"/>
            <w:vAlign w:val="center"/>
          </w:tcPr>
          <w:p w14:paraId="0650EE9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2"/>
            <w:noWrap w:val="0"/>
            <w:vAlign w:val="center"/>
          </w:tcPr>
          <w:p w14:paraId="7B66694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2"/>
            <w:noWrap w:val="0"/>
            <w:vAlign w:val="center"/>
          </w:tcPr>
          <w:p w14:paraId="4CB6EB5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78" w:type="dxa"/>
            <w:gridSpan w:val="2"/>
            <w:noWrap w:val="0"/>
            <w:vAlign w:val="center"/>
          </w:tcPr>
          <w:p w14:paraId="67B6EF86">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275" w:type="dxa"/>
            <w:gridSpan w:val="2"/>
            <w:noWrap w:val="0"/>
            <w:vAlign w:val="center"/>
          </w:tcPr>
          <w:p w14:paraId="081B6C28">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93" w:type="dxa"/>
            <w:gridSpan w:val="4"/>
            <w:noWrap w:val="0"/>
            <w:vAlign w:val="center"/>
          </w:tcPr>
          <w:p w14:paraId="32387C6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3"/>
            <w:noWrap w:val="0"/>
            <w:vAlign w:val="center"/>
          </w:tcPr>
          <w:p w14:paraId="6B052915">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79" w:type="dxa"/>
            <w:gridSpan w:val="2"/>
            <w:noWrap w:val="0"/>
            <w:vAlign w:val="center"/>
          </w:tcPr>
          <w:p w14:paraId="23334CD8">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r>
      <w:tr w14:paraId="61016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51" w:type="dxa"/>
            <w:vMerge w:val="continue"/>
            <w:noWrap w:val="0"/>
            <w:vAlign w:val="center"/>
          </w:tcPr>
          <w:p w14:paraId="5E5540B9">
            <w:pPr>
              <w:adjustRightInd/>
              <w:snapToGrid/>
              <w:spacing w:line="240" w:lineRule="auto"/>
              <w:jc w:val="center"/>
              <w:rPr>
                <w:rFonts w:hint="default" w:ascii="Times New Roman" w:hAnsi="Times New Roman" w:cs="Times New Roman"/>
                <w:color w:val="auto"/>
                <w:sz w:val="18"/>
                <w:szCs w:val="18"/>
              </w:rPr>
            </w:pPr>
          </w:p>
        </w:tc>
        <w:tc>
          <w:tcPr>
            <w:tcW w:w="1561" w:type="dxa"/>
            <w:vMerge w:val="continue"/>
            <w:noWrap w:val="0"/>
            <w:vAlign w:val="center"/>
          </w:tcPr>
          <w:p w14:paraId="0ACE91DF">
            <w:pPr>
              <w:adjustRightInd/>
              <w:snapToGrid/>
              <w:spacing w:line="240" w:lineRule="auto"/>
              <w:jc w:val="center"/>
              <w:rPr>
                <w:rFonts w:hint="default" w:ascii="Times New Roman" w:hAnsi="Times New Roman" w:cs="Times New Roman"/>
                <w:color w:val="auto"/>
                <w:sz w:val="18"/>
                <w:szCs w:val="18"/>
              </w:rPr>
            </w:pPr>
          </w:p>
        </w:tc>
        <w:tc>
          <w:tcPr>
            <w:tcW w:w="1085" w:type="dxa"/>
            <w:gridSpan w:val="2"/>
            <w:noWrap w:val="0"/>
            <w:vAlign w:val="center"/>
          </w:tcPr>
          <w:p w14:paraId="76877D5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0F5C23E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4"/>
            <w:noWrap w:val="0"/>
            <w:vAlign w:val="center"/>
          </w:tcPr>
          <w:p w14:paraId="6A8B5FEA">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noWrap w:val="0"/>
            <w:vAlign w:val="center"/>
          </w:tcPr>
          <w:p w14:paraId="63AB6E26">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2" w:type="dxa"/>
            <w:gridSpan w:val="2"/>
            <w:noWrap w:val="0"/>
            <w:vAlign w:val="center"/>
          </w:tcPr>
          <w:p w14:paraId="76DA07CC">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2"/>
            <w:noWrap w:val="0"/>
            <w:vAlign w:val="center"/>
          </w:tcPr>
          <w:p w14:paraId="7DFCCE79">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78" w:type="dxa"/>
            <w:gridSpan w:val="2"/>
            <w:noWrap w:val="0"/>
            <w:vAlign w:val="center"/>
          </w:tcPr>
          <w:p w14:paraId="690A231B">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275" w:type="dxa"/>
            <w:gridSpan w:val="2"/>
            <w:noWrap w:val="0"/>
            <w:vAlign w:val="center"/>
          </w:tcPr>
          <w:p w14:paraId="5A2E6DA1">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993" w:type="dxa"/>
            <w:gridSpan w:val="4"/>
            <w:noWrap w:val="0"/>
            <w:vAlign w:val="center"/>
          </w:tcPr>
          <w:p w14:paraId="27FD409A">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81" w:type="dxa"/>
            <w:gridSpan w:val="3"/>
            <w:noWrap w:val="0"/>
            <w:vAlign w:val="center"/>
          </w:tcPr>
          <w:p w14:paraId="558E6857">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79" w:type="dxa"/>
            <w:gridSpan w:val="2"/>
            <w:noWrap w:val="0"/>
            <w:vAlign w:val="center"/>
          </w:tcPr>
          <w:p w14:paraId="5EE29823">
            <w:pPr>
              <w:adjustRightInd/>
              <w:snapToGrid/>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r>
    </w:tbl>
    <w:p w14:paraId="3E11F98C">
      <w:r>
        <w:rPr>
          <w:rFonts w:hint="default" w:ascii="Times New Roman" w:hAnsi="Times New Roman" w:cs="Times New Roman"/>
          <w:sz w:val="22"/>
        </w:rPr>
        <mc:AlternateContent>
          <mc:Choice Requires="wps">
            <w:drawing>
              <wp:anchor distT="0" distB="0" distL="114300" distR="114300" simplePos="0" relativeHeight="251661312" behindDoc="0" locked="0" layoutInCell="1" allowOverlap="1">
                <wp:simplePos x="0" y="0"/>
                <wp:positionH relativeFrom="column">
                  <wp:posOffset>-134620</wp:posOffset>
                </wp:positionH>
                <wp:positionV relativeFrom="paragraph">
                  <wp:posOffset>12065</wp:posOffset>
                </wp:positionV>
                <wp:extent cx="9162415" cy="65786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9162415" cy="657860"/>
                        </a:xfrm>
                        <a:prstGeom prst="rect">
                          <a:avLst/>
                        </a:prstGeom>
                        <a:noFill/>
                        <a:ln>
                          <a:noFill/>
                        </a:ln>
                      </wps:spPr>
                      <wps:txbx>
                        <w:txbxContent>
                          <w:p w14:paraId="20B63A3D">
                            <w:pPr>
                              <w:rPr>
                                <w:rFonts w:hint="eastAsia" w:eastAsia="宋体"/>
                                <w:b/>
                                <w:bCs/>
                                <w:sz w:val="28"/>
                                <w:szCs w:val="28"/>
                                <w:lang w:eastAsia="zh-CN"/>
                              </w:rPr>
                            </w:pPr>
                            <w:r>
                              <w:rPr>
                                <w:sz w:val="18"/>
                                <w:szCs w:val="18"/>
                              </w:rPr>
                              <w:t>注：1、排放增减量：（+）表示增加，（-）表示减少。2、</w:t>
                            </w:r>
                            <w:r>
                              <w:rPr>
                                <w:spacing w:val="-8"/>
                                <w:sz w:val="18"/>
                                <w:szCs w:val="18"/>
                              </w:rPr>
                              <w:t>（11）=</w:t>
                            </w:r>
                            <w:r>
                              <w:rPr>
                                <w:spacing w:val="-20"/>
                                <w:sz w:val="18"/>
                                <w:szCs w:val="18"/>
                              </w:rPr>
                              <w:t>（6）-（8）-（10），（9）=（4）-（5）-（8）-（10）+（1）。</w:t>
                            </w:r>
                            <w:r>
                              <w:rPr>
                                <w:sz w:val="18"/>
                                <w:szCs w:val="18"/>
                              </w:rPr>
                              <w:t>3、计量单位：废水排放量——万吨／年；废气排放量——万标立方米/年；工业固体废物排放量——万吨／年；水污染物排放浓度——毫克／升；大气污染物排放浓度——毫克／立方米；水污染物排放量——吨／年；大气污染物排放量——吨／年</w:t>
                            </w:r>
                            <w:r>
                              <w:rPr>
                                <w:rFonts w:hint="eastAsia"/>
                                <w:sz w:val="18"/>
                                <w:szCs w:val="18"/>
                                <w:lang w:eastAsia="zh-CN"/>
                              </w:rPr>
                              <w:t>。</w:t>
                            </w:r>
                          </w:p>
                        </w:txbxContent>
                      </wps:txbx>
                      <wps:bodyPr upright="1"/>
                    </wps:wsp>
                  </a:graphicData>
                </a:graphic>
              </wp:anchor>
            </w:drawing>
          </mc:Choice>
          <mc:Fallback>
            <w:pict>
              <v:shape id="_x0000_s1026" o:spid="_x0000_s1026" o:spt="202" type="#_x0000_t202" style="position:absolute;left:0pt;margin-left:-10.6pt;margin-top:0.95pt;height:51.8pt;width:721.45pt;z-index:251661312;mso-width-relative:page;mso-height-relative:page;" filled="f" stroked="f" coordsize="21600,21600" o:gfxdata="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CiuGTX&#10;AAAACgEAAA8AAAAAAAAAAQAgAAAAIgAAAGRycy9kb3ducmV2LnhtbFBLAQIUABQAAAAIAIdO4kAp&#10;Xg1zrwEAAFADAAAOAAAAAAAAAAEAIAAAACYBAABkcnMvZTJvRG9jLnhtbFBLBQYAAAAABgAGAFkB&#10;AABHBQAAAAA=&#10;">
                <v:fill on="f" focussize="0,0"/>
                <v:stroke on="f"/>
                <v:imagedata o:title=""/>
                <o:lock v:ext="edit" aspectratio="f"/>
                <v:textbox>
                  <w:txbxContent>
                    <w:p w14:paraId="20B63A3D">
                      <w:pPr>
                        <w:rPr>
                          <w:rFonts w:hint="eastAsia" w:eastAsia="宋体"/>
                          <w:b/>
                          <w:bCs/>
                          <w:sz w:val="28"/>
                          <w:szCs w:val="28"/>
                          <w:lang w:eastAsia="zh-CN"/>
                        </w:rPr>
                      </w:pPr>
                      <w:r>
                        <w:rPr>
                          <w:sz w:val="18"/>
                          <w:szCs w:val="18"/>
                        </w:rPr>
                        <w:t>注：1、排放增减量：（+）表示增加，（-）表示减少。2、</w:t>
                      </w:r>
                      <w:r>
                        <w:rPr>
                          <w:spacing w:val="-8"/>
                          <w:sz w:val="18"/>
                          <w:szCs w:val="18"/>
                        </w:rPr>
                        <w:t>（11）=</w:t>
                      </w:r>
                      <w:r>
                        <w:rPr>
                          <w:spacing w:val="-20"/>
                          <w:sz w:val="18"/>
                          <w:szCs w:val="18"/>
                        </w:rPr>
                        <w:t>（6）-（8）-（10），（9）=（4）-（5）-（8）-（10）+（1）。</w:t>
                      </w:r>
                      <w:r>
                        <w:rPr>
                          <w:sz w:val="18"/>
                          <w:szCs w:val="18"/>
                        </w:rPr>
                        <w:t>3、计量单位：废水排放量——万吨／年；废气排放量——万标立方米/年；工业固体废物排放量——万吨／年；水污染物排放浓度——毫克／升；大气污染物排放浓度——毫克／立方米；水污染物排放量——吨／年；大气污染物排放量——吨／年</w:t>
                      </w:r>
                      <w:r>
                        <w:rPr>
                          <w:rFonts w:hint="eastAsia"/>
                          <w:sz w:val="18"/>
                          <w:szCs w:val="18"/>
                          <w:lang w:eastAsia="zh-CN"/>
                        </w:rPr>
                        <w:t>。</w:t>
                      </w:r>
                    </w:p>
                  </w:txbxContent>
                </v:textbox>
              </v:shape>
            </w:pict>
          </mc:Fallback>
        </mc:AlternateContent>
      </w:r>
    </w:p>
    <w:sectPr>
      <w:headerReference r:id="rId14" w:type="default"/>
      <w:footerReference r:id="rId15" w:type="default"/>
      <w:pgSz w:w="16838" w:h="11911" w:orient="landscape"/>
      <w:pgMar w:top="1134" w:right="1440" w:bottom="1134" w:left="1440" w:header="964" w:footer="918"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3B848">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B37F5">
    <w:pPr>
      <w:pStyle w:val="12"/>
      <w:framePr w:wrap="around" w:vAnchor="text" w:hAnchor="margin" w:xAlign="center" w:y="1"/>
      <w:rPr>
        <w:rStyle w:val="20"/>
      </w:rPr>
    </w:pPr>
    <w:r>
      <w:fldChar w:fldCharType="begin"/>
    </w:r>
    <w:r>
      <w:rPr>
        <w:rStyle w:val="20"/>
      </w:rPr>
      <w:instrText xml:space="preserve">PAGE  </w:instrText>
    </w:r>
    <w:r>
      <w:fldChar w:fldCharType="separate"/>
    </w:r>
    <w:r>
      <w:rPr>
        <w:rStyle w:val="20"/>
      </w:rPr>
      <w:t>1</w:t>
    </w:r>
    <w:r>
      <w:fldChar w:fldCharType="end"/>
    </w:r>
  </w:p>
  <w:p w14:paraId="36700B65">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143B8">
    <w:pPr>
      <w:pStyle w:val="9"/>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A44BF">
    <w:pPr>
      <w:pStyle w:val="9"/>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-161925</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E443BF">
                          <w:pPr>
                            <w:pStyle w:val="12"/>
                            <w:jc w:val="center"/>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12.75pt;height:144pt;width:144pt;mso-position-horizontal:center;mso-position-horizontal-relative:margin;mso-wrap-style:none;z-index:251659264;mso-width-relative:page;mso-height-relative:page;" filled="f" stroked="f" coordsize="21600,21600" o:gfxdata="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2W+ntQAAAAIAQAADwAAAAAAAAABACAAAAAiAAAAZHJzL2Rvd25y&#10;ZXYueG1sUEsBAhQAFAAAAAgAh07iQK664zvJAQAAmwMAAA4AAAAAAAAAAQAgAAAAIwEAAGRycy9l&#10;Mm9Eb2MueG1sUEsFBgAAAAAGAAYAWQEAAF4FAAAAAA==&#10;">
              <v:fill on="f" focussize="0,0"/>
              <v:stroke on="f"/>
              <v:imagedata o:title=""/>
              <o:lock v:ext="edit" aspectratio="f"/>
              <v:textbox inset="0mm,0mm,0mm,0mm" style="mso-fit-shape-to-text:t;">
                <w:txbxContent>
                  <w:p w14:paraId="35E443BF">
                    <w:pPr>
                      <w:pStyle w:val="12"/>
                      <w:jc w:val="center"/>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804B5">
    <w:pPr>
      <w:pStyle w:val="9"/>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-161925</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8BC92D">
                          <w:pPr>
                            <w:pStyle w:val="12"/>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26</w:t>
                          </w:r>
                          <w:r>
                            <w:rPr>
                              <w:rFonts w:hint="default" w:ascii="Times New Roman" w:hAnsi="Times New Roman" w:cs="Times New Roman"/>
                              <w:sz w:val="21"/>
                              <w:szCs w:val="21"/>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12.75pt;height:144pt;width:144pt;mso-position-horizontal:center;mso-position-horizontal-relative:margin;mso-wrap-style:none;z-index:251660288;mso-width-relative:page;mso-height-relative:page;" filled="f" stroked="f" coordsize="21600,21600" o:gfxdata="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2W+ntQAAAAIAQAADwAAAAAAAAABACAAAAAiAAAAZHJzL2Rvd25y&#10;ZXYueG1sUEsBAhQAFAAAAAgAh07iQDcT1AvJAQAAmwMAAA4AAAAAAAAAAQAgAAAAIwEAAGRycy9l&#10;Mm9Eb2MueG1sUEsFBgAAAAAGAAYAWQEAAF4FAAAAAA==&#10;">
              <v:fill on="f" focussize="0,0"/>
              <v:stroke on="f"/>
              <v:imagedata o:title=""/>
              <o:lock v:ext="edit" aspectratio="f"/>
              <v:textbox inset="0mm,0mm,0mm,0mm" style="mso-fit-shape-to-text:t;">
                <w:txbxContent>
                  <w:p w14:paraId="658BC92D">
                    <w:pPr>
                      <w:pStyle w:val="12"/>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26</w:t>
                    </w:r>
                    <w:r>
                      <w:rPr>
                        <w:rFonts w:hint="default" w:ascii="Times New Roman" w:hAnsi="Times New Roman" w:cs="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DCE86">
    <w:pPr>
      <w:pStyle w:val="9"/>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C0A4E">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771F1">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3E0F4">
    <w:pPr>
      <w:pStyle w:val="1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DC17B">
    <w:pPr>
      <w:pStyle w:val="13"/>
      <w:pBdr>
        <w:top w:val="none" w:color="auto" w:sz="0" w:space="0"/>
        <w:left w:val="none" w:color="auto" w:sz="0" w:space="0"/>
        <w:bottom w:val="none" w:color="auto" w:sz="0" w:space="1"/>
        <w:right w:val="none" w:color="auto" w:sz="0" w:space="0"/>
        <w:between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16932">
    <w:pPr>
      <w:pStyle w:val="13"/>
      <w:pBdr>
        <w:top w:val="none" w:color="auto" w:sz="0" w:space="0"/>
        <w:left w:val="none" w:color="auto" w:sz="0" w:space="0"/>
        <w:bottom w:val="none" w:color="auto" w:sz="0" w:space="1"/>
        <w:right w:val="none" w:color="auto" w:sz="0" w:space="0"/>
        <w:between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B7C4E"/>
    <w:multiLevelType w:val="singleLevel"/>
    <w:tmpl w:val="026B7C4E"/>
    <w:lvl w:ilvl="0" w:tentative="0">
      <w:start w:val="1"/>
      <w:numFmt w:val="decimal"/>
      <w:suff w:val="nothing"/>
      <w:lvlText w:val="（%1）"/>
      <w:lvlJc w:val="left"/>
    </w:lvl>
  </w:abstractNum>
  <w:abstractNum w:abstractNumId="1">
    <w:nsid w:val="7990AFBB"/>
    <w:multiLevelType w:val="singleLevel"/>
    <w:tmpl w:val="7990AFBB"/>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zZTNiMjFlYzBjYWE4NzhhZTg0OTc4M2I2YTBmNDkifQ=="/>
  </w:docVars>
  <w:rsids>
    <w:rsidRoot w:val="1ADE6B88"/>
    <w:rsid w:val="00417EF4"/>
    <w:rsid w:val="004E43BF"/>
    <w:rsid w:val="00816543"/>
    <w:rsid w:val="008D313A"/>
    <w:rsid w:val="00974BA2"/>
    <w:rsid w:val="009A7605"/>
    <w:rsid w:val="009E019B"/>
    <w:rsid w:val="00A3295D"/>
    <w:rsid w:val="00DC7C1D"/>
    <w:rsid w:val="00DE4B50"/>
    <w:rsid w:val="00FA00A3"/>
    <w:rsid w:val="010319AE"/>
    <w:rsid w:val="011B6997"/>
    <w:rsid w:val="014632E9"/>
    <w:rsid w:val="01520363"/>
    <w:rsid w:val="019422A6"/>
    <w:rsid w:val="01AE3368"/>
    <w:rsid w:val="01AF70E0"/>
    <w:rsid w:val="01BD35AB"/>
    <w:rsid w:val="01CA216C"/>
    <w:rsid w:val="01DA226F"/>
    <w:rsid w:val="01E4322D"/>
    <w:rsid w:val="01EF3980"/>
    <w:rsid w:val="02445A7A"/>
    <w:rsid w:val="02717BDA"/>
    <w:rsid w:val="028247F4"/>
    <w:rsid w:val="02C1531D"/>
    <w:rsid w:val="02FE20CD"/>
    <w:rsid w:val="031C2553"/>
    <w:rsid w:val="032F672A"/>
    <w:rsid w:val="033E696D"/>
    <w:rsid w:val="034877EC"/>
    <w:rsid w:val="03653EFA"/>
    <w:rsid w:val="03A34A22"/>
    <w:rsid w:val="03AE3AF3"/>
    <w:rsid w:val="03B1713F"/>
    <w:rsid w:val="03B517B6"/>
    <w:rsid w:val="03D80B70"/>
    <w:rsid w:val="03E0473F"/>
    <w:rsid w:val="040108ED"/>
    <w:rsid w:val="045301F6"/>
    <w:rsid w:val="047D2C92"/>
    <w:rsid w:val="049E5D1F"/>
    <w:rsid w:val="04AC5B58"/>
    <w:rsid w:val="04B844FD"/>
    <w:rsid w:val="04BA2023"/>
    <w:rsid w:val="04D255BF"/>
    <w:rsid w:val="052B2F21"/>
    <w:rsid w:val="052E47BF"/>
    <w:rsid w:val="05377B18"/>
    <w:rsid w:val="05453FE3"/>
    <w:rsid w:val="054B5371"/>
    <w:rsid w:val="055E50A5"/>
    <w:rsid w:val="056B77C2"/>
    <w:rsid w:val="05852631"/>
    <w:rsid w:val="05CF5FA2"/>
    <w:rsid w:val="05DB4947"/>
    <w:rsid w:val="0639166E"/>
    <w:rsid w:val="065B1F66"/>
    <w:rsid w:val="0661309E"/>
    <w:rsid w:val="06B74A9B"/>
    <w:rsid w:val="06DC0977"/>
    <w:rsid w:val="06F85085"/>
    <w:rsid w:val="0721282E"/>
    <w:rsid w:val="07291886"/>
    <w:rsid w:val="07697D31"/>
    <w:rsid w:val="07B45450"/>
    <w:rsid w:val="087627B0"/>
    <w:rsid w:val="087A1BF2"/>
    <w:rsid w:val="08BA6A96"/>
    <w:rsid w:val="08E41D65"/>
    <w:rsid w:val="08F57ACE"/>
    <w:rsid w:val="091B5662"/>
    <w:rsid w:val="09420839"/>
    <w:rsid w:val="094D2196"/>
    <w:rsid w:val="09526CCE"/>
    <w:rsid w:val="095F3199"/>
    <w:rsid w:val="0972111F"/>
    <w:rsid w:val="09767D96"/>
    <w:rsid w:val="09C63218"/>
    <w:rsid w:val="09DB3168"/>
    <w:rsid w:val="09DC2A3C"/>
    <w:rsid w:val="09F4422A"/>
    <w:rsid w:val="09F47D86"/>
    <w:rsid w:val="09F61D50"/>
    <w:rsid w:val="0A0F4BBF"/>
    <w:rsid w:val="0A1E12A6"/>
    <w:rsid w:val="0A1E4E03"/>
    <w:rsid w:val="0A3463D4"/>
    <w:rsid w:val="0A951569"/>
    <w:rsid w:val="0AB0229D"/>
    <w:rsid w:val="0ABD0ABF"/>
    <w:rsid w:val="0ACA6D38"/>
    <w:rsid w:val="0AD007F3"/>
    <w:rsid w:val="0AFD0EBC"/>
    <w:rsid w:val="0B106E41"/>
    <w:rsid w:val="0B61144B"/>
    <w:rsid w:val="0B962298"/>
    <w:rsid w:val="0B9F1F73"/>
    <w:rsid w:val="0BCF0AAA"/>
    <w:rsid w:val="0BD04822"/>
    <w:rsid w:val="0BE43E2A"/>
    <w:rsid w:val="0C372D53"/>
    <w:rsid w:val="0C5965C6"/>
    <w:rsid w:val="0C767178"/>
    <w:rsid w:val="0CA77331"/>
    <w:rsid w:val="0D110C4F"/>
    <w:rsid w:val="0D2B7F62"/>
    <w:rsid w:val="0D38267F"/>
    <w:rsid w:val="0D7336B7"/>
    <w:rsid w:val="0D913526"/>
    <w:rsid w:val="0DCD726B"/>
    <w:rsid w:val="0DCF4D92"/>
    <w:rsid w:val="0E2449B2"/>
    <w:rsid w:val="0E2567D0"/>
    <w:rsid w:val="0E9C09EC"/>
    <w:rsid w:val="0EA16002"/>
    <w:rsid w:val="0EE54141"/>
    <w:rsid w:val="0EEC3721"/>
    <w:rsid w:val="0F2A3982"/>
    <w:rsid w:val="0F6459AD"/>
    <w:rsid w:val="0F6C6610"/>
    <w:rsid w:val="0F824086"/>
    <w:rsid w:val="0F953DB9"/>
    <w:rsid w:val="0FCD3553"/>
    <w:rsid w:val="0FE268D2"/>
    <w:rsid w:val="102B2027"/>
    <w:rsid w:val="102C5831"/>
    <w:rsid w:val="1032785A"/>
    <w:rsid w:val="10362BFB"/>
    <w:rsid w:val="10374E70"/>
    <w:rsid w:val="10501A8E"/>
    <w:rsid w:val="107514F4"/>
    <w:rsid w:val="10CD7582"/>
    <w:rsid w:val="11196324"/>
    <w:rsid w:val="111D4B4D"/>
    <w:rsid w:val="113E3FDC"/>
    <w:rsid w:val="11755C50"/>
    <w:rsid w:val="11853BCD"/>
    <w:rsid w:val="11F36B75"/>
    <w:rsid w:val="12185560"/>
    <w:rsid w:val="12333415"/>
    <w:rsid w:val="12695089"/>
    <w:rsid w:val="12863E8D"/>
    <w:rsid w:val="12A85BB1"/>
    <w:rsid w:val="13180F89"/>
    <w:rsid w:val="13196AAF"/>
    <w:rsid w:val="13382C11"/>
    <w:rsid w:val="13421B62"/>
    <w:rsid w:val="13547AE7"/>
    <w:rsid w:val="139F6FB4"/>
    <w:rsid w:val="13B67364"/>
    <w:rsid w:val="13D920BF"/>
    <w:rsid w:val="13E64BE3"/>
    <w:rsid w:val="13F13588"/>
    <w:rsid w:val="140B464A"/>
    <w:rsid w:val="1437543F"/>
    <w:rsid w:val="143F6DE8"/>
    <w:rsid w:val="14785EF3"/>
    <w:rsid w:val="147F2243"/>
    <w:rsid w:val="14A76B65"/>
    <w:rsid w:val="14B940A6"/>
    <w:rsid w:val="14ED1FA1"/>
    <w:rsid w:val="150F1F18"/>
    <w:rsid w:val="151E03AD"/>
    <w:rsid w:val="15510782"/>
    <w:rsid w:val="157D3325"/>
    <w:rsid w:val="15DA0777"/>
    <w:rsid w:val="15E05662"/>
    <w:rsid w:val="15F01D49"/>
    <w:rsid w:val="162E2871"/>
    <w:rsid w:val="163D0D06"/>
    <w:rsid w:val="164C2CF7"/>
    <w:rsid w:val="164D719B"/>
    <w:rsid w:val="164E081E"/>
    <w:rsid w:val="164F4B0E"/>
    <w:rsid w:val="1651030E"/>
    <w:rsid w:val="16571DC8"/>
    <w:rsid w:val="166E0EC0"/>
    <w:rsid w:val="169923E1"/>
    <w:rsid w:val="16DC051F"/>
    <w:rsid w:val="16EF3DAF"/>
    <w:rsid w:val="1720040C"/>
    <w:rsid w:val="172A3039"/>
    <w:rsid w:val="172C1991"/>
    <w:rsid w:val="174F6473"/>
    <w:rsid w:val="176F3141"/>
    <w:rsid w:val="17984446"/>
    <w:rsid w:val="17AA32D1"/>
    <w:rsid w:val="17BB6387"/>
    <w:rsid w:val="17CF598E"/>
    <w:rsid w:val="17DB4333"/>
    <w:rsid w:val="181B1DAD"/>
    <w:rsid w:val="18493992"/>
    <w:rsid w:val="1864607E"/>
    <w:rsid w:val="18A26E83"/>
    <w:rsid w:val="18BC4164"/>
    <w:rsid w:val="18C748B7"/>
    <w:rsid w:val="18D21BDA"/>
    <w:rsid w:val="18E13BCB"/>
    <w:rsid w:val="18F64569"/>
    <w:rsid w:val="19245392"/>
    <w:rsid w:val="19394701"/>
    <w:rsid w:val="194A1770"/>
    <w:rsid w:val="196071E6"/>
    <w:rsid w:val="19683FBD"/>
    <w:rsid w:val="196C5B8A"/>
    <w:rsid w:val="19C37774"/>
    <w:rsid w:val="19EC2827"/>
    <w:rsid w:val="19FD1D07"/>
    <w:rsid w:val="1A1F0E4F"/>
    <w:rsid w:val="1A271AB1"/>
    <w:rsid w:val="1A3146DE"/>
    <w:rsid w:val="1A3F329F"/>
    <w:rsid w:val="1A644AB4"/>
    <w:rsid w:val="1A732F49"/>
    <w:rsid w:val="1A846F04"/>
    <w:rsid w:val="1ADE6B88"/>
    <w:rsid w:val="1B214753"/>
    <w:rsid w:val="1B3B1CD0"/>
    <w:rsid w:val="1B5A7C65"/>
    <w:rsid w:val="1B6F0B84"/>
    <w:rsid w:val="1B860A5A"/>
    <w:rsid w:val="1BA6520F"/>
    <w:rsid w:val="1BD6553D"/>
    <w:rsid w:val="1BEC0C12"/>
    <w:rsid w:val="1BEF2AA3"/>
    <w:rsid w:val="1C3E30E2"/>
    <w:rsid w:val="1C5D17BA"/>
    <w:rsid w:val="1C625023"/>
    <w:rsid w:val="1C70222D"/>
    <w:rsid w:val="1C7A05BE"/>
    <w:rsid w:val="1CCF00B4"/>
    <w:rsid w:val="1CD0259C"/>
    <w:rsid w:val="1CE04199"/>
    <w:rsid w:val="1CEA3F89"/>
    <w:rsid w:val="1CEF7D82"/>
    <w:rsid w:val="1CFA4C43"/>
    <w:rsid w:val="1D4961E3"/>
    <w:rsid w:val="1D756FD8"/>
    <w:rsid w:val="1DC256AB"/>
    <w:rsid w:val="1DF93765"/>
    <w:rsid w:val="1E2102A1"/>
    <w:rsid w:val="1E8474D2"/>
    <w:rsid w:val="1E8F40C9"/>
    <w:rsid w:val="1EC9735C"/>
    <w:rsid w:val="1EE7180F"/>
    <w:rsid w:val="1EEB7551"/>
    <w:rsid w:val="1EFD54D7"/>
    <w:rsid w:val="1F046865"/>
    <w:rsid w:val="1F2C1918"/>
    <w:rsid w:val="1F6410B2"/>
    <w:rsid w:val="1F66307C"/>
    <w:rsid w:val="1F6B41EE"/>
    <w:rsid w:val="1FB262C1"/>
    <w:rsid w:val="1FB634D8"/>
    <w:rsid w:val="1FDE0E64"/>
    <w:rsid w:val="1FE02E2E"/>
    <w:rsid w:val="1FEA7809"/>
    <w:rsid w:val="20895274"/>
    <w:rsid w:val="20A976C4"/>
    <w:rsid w:val="20D37626"/>
    <w:rsid w:val="20E029BA"/>
    <w:rsid w:val="20E406FC"/>
    <w:rsid w:val="20E424AA"/>
    <w:rsid w:val="21176669"/>
    <w:rsid w:val="2167118E"/>
    <w:rsid w:val="216D06F2"/>
    <w:rsid w:val="216E446A"/>
    <w:rsid w:val="21A954A2"/>
    <w:rsid w:val="21D101DA"/>
    <w:rsid w:val="22045D92"/>
    <w:rsid w:val="220628F4"/>
    <w:rsid w:val="22407AAD"/>
    <w:rsid w:val="2245341D"/>
    <w:rsid w:val="22561186"/>
    <w:rsid w:val="22693DEC"/>
    <w:rsid w:val="226A06FE"/>
    <w:rsid w:val="22813D29"/>
    <w:rsid w:val="22835CF3"/>
    <w:rsid w:val="22851FD8"/>
    <w:rsid w:val="2285488E"/>
    <w:rsid w:val="22D30A28"/>
    <w:rsid w:val="22E03957"/>
    <w:rsid w:val="22E5250A"/>
    <w:rsid w:val="22F34C27"/>
    <w:rsid w:val="22F67276"/>
    <w:rsid w:val="2322550C"/>
    <w:rsid w:val="235C20D3"/>
    <w:rsid w:val="2366189C"/>
    <w:rsid w:val="23AC3027"/>
    <w:rsid w:val="23BC0C45"/>
    <w:rsid w:val="23FA1FE5"/>
    <w:rsid w:val="23FD5F3B"/>
    <w:rsid w:val="2419690F"/>
    <w:rsid w:val="24354E51"/>
    <w:rsid w:val="244F0582"/>
    <w:rsid w:val="246F4781"/>
    <w:rsid w:val="24A0493A"/>
    <w:rsid w:val="24B14D99"/>
    <w:rsid w:val="24EF141E"/>
    <w:rsid w:val="24FD287A"/>
    <w:rsid w:val="25421E95"/>
    <w:rsid w:val="25583467"/>
    <w:rsid w:val="256C0CC0"/>
    <w:rsid w:val="25CD5C03"/>
    <w:rsid w:val="25D07BEE"/>
    <w:rsid w:val="25E072D4"/>
    <w:rsid w:val="25E90563"/>
    <w:rsid w:val="25EB4B24"/>
    <w:rsid w:val="26154EB4"/>
    <w:rsid w:val="263712CE"/>
    <w:rsid w:val="263E265D"/>
    <w:rsid w:val="265C0D35"/>
    <w:rsid w:val="26647BE9"/>
    <w:rsid w:val="268D5392"/>
    <w:rsid w:val="26CF6A37"/>
    <w:rsid w:val="27400656"/>
    <w:rsid w:val="277E685B"/>
    <w:rsid w:val="27AC5CEC"/>
    <w:rsid w:val="27C6290A"/>
    <w:rsid w:val="27DD5EA5"/>
    <w:rsid w:val="27E64D5A"/>
    <w:rsid w:val="27F82CDF"/>
    <w:rsid w:val="282D2989"/>
    <w:rsid w:val="285919D0"/>
    <w:rsid w:val="286E4D4F"/>
    <w:rsid w:val="28B16468"/>
    <w:rsid w:val="28E05A37"/>
    <w:rsid w:val="28E374EB"/>
    <w:rsid w:val="28E514B5"/>
    <w:rsid w:val="292518B2"/>
    <w:rsid w:val="29695C42"/>
    <w:rsid w:val="29804D3A"/>
    <w:rsid w:val="298567F4"/>
    <w:rsid w:val="29A7676B"/>
    <w:rsid w:val="29D05CC2"/>
    <w:rsid w:val="29DF5F05"/>
    <w:rsid w:val="2A16744D"/>
    <w:rsid w:val="2A2519CD"/>
    <w:rsid w:val="2A355B25"/>
    <w:rsid w:val="2A524929"/>
    <w:rsid w:val="2A583A99"/>
    <w:rsid w:val="2A742447"/>
    <w:rsid w:val="2A750617"/>
    <w:rsid w:val="2A790107"/>
    <w:rsid w:val="2A84085A"/>
    <w:rsid w:val="2A8D151D"/>
    <w:rsid w:val="2AA80914"/>
    <w:rsid w:val="2AB0164F"/>
    <w:rsid w:val="2ADB491E"/>
    <w:rsid w:val="2AF92FF6"/>
    <w:rsid w:val="2AFA5417"/>
    <w:rsid w:val="2B0A6FB1"/>
    <w:rsid w:val="2B3202B6"/>
    <w:rsid w:val="2B45623B"/>
    <w:rsid w:val="2B770F05"/>
    <w:rsid w:val="2B872ED7"/>
    <w:rsid w:val="2BEF7F55"/>
    <w:rsid w:val="2C071743"/>
    <w:rsid w:val="2C0B2F26"/>
    <w:rsid w:val="2C3B319A"/>
    <w:rsid w:val="2C4E1120"/>
    <w:rsid w:val="2C520C10"/>
    <w:rsid w:val="2C545A11"/>
    <w:rsid w:val="2C5A5D16"/>
    <w:rsid w:val="2C692F9B"/>
    <w:rsid w:val="2C730B86"/>
    <w:rsid w:val="2C736ED4"/>
    <w:rsid w:val="2C83526D"/>
    <w:rsid w:val="2C8D7E9A"/>
    <w:rsid w:val="2C9920A4"/>
    <w:rsid w:val="2CC15D95"/>
    <w:rsid w:val="2D6D4E3F"/>
    <w:rsid w:val="2D7E2BEE"/>
    <w:rsid w:val="2D8D3ECA"/>
    <w:rsid w:val="2DD613CD"/>
    <w:rsid w:val="2DF16206"/>
    <w:rsid w:val="2DF301D1"/>
    <w:rsid w:val="2DF31F7F"/>
    <w:rsid w:val="2E1F2D74"/>
    <w:rsid w:val="2E2D764F"/>
    <w:rsid w:val="2E693FEF"/>
    <w:rsid w:val="2E7F15A8"/>
    <w:rsid w:val="2E894691"/>
    <w:rsid w:val="2EB86D24"/>
    <w:rsid w:val="2F104DB2"/>
    <w:rsid w:val="2F1A178D"/>
    <w:rsid w:val="2F503401"/>
    <w:rsid w:val="2F5B602D"/>
    <w:rsid w:val="2F8E79CA"/>
    <w:rsid w:val="2FA71273"/>
    <w:rsid w:val="2FB76FDC"/>
    <w:rsid w:val="2FE57FED"/>
    <w:rsid w:val="2FEC09B7"/>
    <w:rsid w:val="2FF14F7E"/>
    <w:rsid w:val="30156AF1"/>
    <w:rsid w:val="301663F8"/>
    <w:rsid w:val="30493293"/>
    <w:rsid w:val="306C55CD"/>
    <w:rsid w:val="3082583C"/>
    <w:rsid w:val="30896BCA"/>
    <w:rsid w:val="30A05CC2"/>
    <w:rsid w:val="311B6C45"/>
    <w:rsid w:val="314825E1"/>
    <w:rsid w:val="314D409C"/>
    <w:rsid w:val="31576CC8"/>
    <w:rsid w:val="31807FCD"/>
    <w:rsid w:val="3196159F"/>
    <w:rsid w:val="31992E3D"/>
    <w:rsid w:val="31B5579D"/>
    <w:rsid w:val="31C37EBA"/>
    <w:rsid w:val="31E63BA8"/>
    <w:rsid w:val="3203475A"/>
    <w:rsid w:val="321F009D"/>
    <w:rsid w:val="323B3EF4"/>
    <w:rsid w:val="324F1E45"/>
    <w:rsid w:val="325D030E"/>
    <w:rsid w:val="325E35A3"/>
    <w:rsid w:val="32695335"/>
    <w:rsid w:val="32CE64EB"/>
    <w:rsid w:val="32D06D32"/>
    <w:rsid w:val="32DB1233"/>
    <w:rsid w:val="32EC48A6"/>
    <w:rsid w:val="331035D3"/>
    <w:rsid w:val="333F17C2"/>
    <w:rsid w:val="335F00B6"/>
    <w:rsid w:val="336F02F9"/>
    <w:rsid w:val="34052A0C"/>
    <w:rsid w:val="340842AA"/>
    <w:rsid w:val="340D3C52"/>
    <w:rsid w:val="34270BD4"/>
    <w:rsid w:val="343155AF"/>
    <w:rsid w:val="34337579"/>
    <w:rsid w:val="348C4EDB"/>
    <w:rsid w:val="34983880"/>
    <w:rsid w:val="349A13A6"/>
    <w:rsid w:val="34D07A4B"/>
    <w:rsid w:val="34E04472"/>
    <w:rsid w:val="354B08F2"/>
    <w:rsid w:val="35A149B6"/>
    <w:rsid w:val="35CB1A33"/>
    <w:rsid w:val="36017203"/>
    <w:rsid w:val="3612580E"/>
    <w:rsid w:val="366F4EF9"/>
    <w:rsid w:val="368B456A"/>
    <w:rsid w:val="36F823B4"/>
    <w:rsid w:val="36FF1994"/>
    <w:rsid w:val="37023232"/>
    <w:rsid w:val="37072C34"/>
    <w:rsid w:val="37623CD1"/>
    <w:rsid w:val="37C7727E"/>
    <w:rsid w:val="37CE75B8"/>
    <w:rsid w:val="37D746BF"/>
    <w:rsid w:val="37FA215C"/>
    <w:rsid w:val="38392C84"/>
    <w:rsid w:val="386D5023"/>
    <w:rsid w:val="3894435E"/>
    <w:rsid w:val="38D17360"/>
    <w:rsid w:val="38F8669B"/>
    <w:rsid w:val="390C0398"/>
    <w:rsid w:val="39243934"/>
    <w:rsid w:val="39535FC7"/>
    <w:rsid w:val="39581830"/>
    <w:rsid w:val="39785A2E"/>
    <w:rsid w:val="397F0B6A"/>
    <w:rsid w:val="39DE1D35"/>
    <w:rsid w:val="39FC040D"/>
    <w:rsid w:val="3A145757"/>
    <w:rsid w:val="3A443B62"/>
    <w:rsid w:val="3A4D6EBA"/>
    <w:rsid w:val="3A563B2B"/>
    <w:rsid w:val="3A614714"/>
    <w:rsid w:val="3A63048C"/>
    <w:rsid w:val="3A8A5A19"/>
    <w:rsid w:val="3AA2245B"/>
    <w:rsid w:val="3AAC3BE1"/>
    <w:rsid w:val="3AE121D0"/>
    <w:rsid w:val="3AE72E6B"/>
    <w:rsid w:val="3B5322AF"/>
    <w:rsid w:val="3B554279"/>
    <w:rsid w:val="3B712735"/>
    <w:rsid w:val="3B8701AA"/>
    <w:rsid w:val="3B914B85"/>
    <w:rsid w:val="3BA42B0A"/>
    <w:rsid w:val="3BCC2061"/>
    <w:rsid w:val="3BD038FF"/>
    <w:rsid w:val="3C0D3179"/>
    <w:rsid w:val="3C2D6FA3"/>
    <w:rsid w:val="3C5C1637"/>
    <w:rsid w:val="3C6E4EC6"/>
    <w:rsid w:val="3C9012E0"/>
    <w:rsid w:val="3CAD1E92"/>
    <w:rsid w:val="3CC8359B"/>
    <w:rsid w:val="3CDD08B0"/>
    <w:rsid w:val="3CE53400"/>
    <w:rsid w:val="3D072BA4"/>
    <w:rsid w:val="3D0C56C2"/>
    <w:rsid w:val="3D89020A"/>
    <w:rsid w:val="3DA52B6A"/>
    <w:rsid w:val="3DBE2765"/>
    <w:rsid w:val="3DE418E4"/>
    <w:rsid w:val="3DF15DAF"/>
    <w:rsid w:val="3E210442"/>
    <w:rsid w:val="3E347550"/>
    <w:rsid w:val="3E6F5ADD"/>
    <w:rsid w:val="3E854E75"/>
    <w:rsid w:val="3E8751D1"/>
    <w:rsid w:val="3EA177D5"/>
    <w:rsid w:val="3EBF7C5B"/>
    <w:rsid w:val="3ED41958"/>
    <w:rsid w:val="3EE020AB"/>
    <w:rsid w:val="3EF67B21"/>
    <w:rsid w:val="3F514AE3"/>
    <w:rsid w:val="3F7B1DD4"/>
    <w:rsid w:val="3F7E3672"/>
    <w:rsid w:val="3F8C5D8F"/>
    <w:rsid w:val="3F966C0E"/>
    <w:rsid w:val="3F9966FE"/>
    <w:rsid w:val="3FA3668F"/>
    <w:rsid w:val="3FA96941"/>
    <w:rsid w:val="3FAA090B"/>
    <w:rsid w:val="3FBB6674"/>
    <w:rsid w:val="3FC27A03"/>
    <w:rsid w:val="3FF04570"/>
    <w:rsid w:val="3FFA53EF"/>
    <w:rsid w:val="3FFD4EDF"/>
    <w:rsid w:val="3FFE3A57"/>
    <w:rsid w:val="401D10DD"/>
    <w:rsid w:val="402F2358"/>
    <w:rsid w:val="4056454A"/>
    <w:rsid w:val="4056752A"/>
    <w:rsid w:val="40672358"/>
    <w:rsid w:val="4081341A"/>
    <w:rsid w:val="40B25CC9"/>
    <w:rsid w:val="40BF2194"/>
    <w:rsid w:val="40C17CBA"/>
    <w:rsid w:val="40C34B2E"/>
    <w:rsid w:val="40EF4827"/>
    <w:rsid w:val="41595D26"/>
    <w:rsid w:val="4168282C"/>
    <w:rsid w:val="41A41AB6"/>
    <w:rsid w:val="41B415CD"/>
    <w:rsid w:val="41CB43D7"/>
    <w:rsid w:val="41E30128"/>
    <w:rsid w:val="41E41EB2"/>
    <w:rsid w:val="41EF130C"/>
    <w:rsid w:val="42674891"/>
    <w:rsid w:val="426E66F8"/>
    <w:rsid w:val="42760396"/>
    <w:rsid w:val="42DE2DA6"/>
    <w:rsid w:val="430C0B17"/>
    <w:rsid w:val="4374652E"/>
    <w:rsid w:val="43747266"/>
    <w:rsid w:val="43A713E9"/>
    <w:rsid w:val="43AA2C88"/>
    <w:rsid w:val="43B35FE0"/>
    <w:rsid w:val="43E477E4"/>
    <w:rsid w:val="441B1DD7"/>
    <w:rsid w:val="444924A1"/>
    <w:rsid w:val="448259B3"/>
    <w:rsid w:val="44932709"/>
    <w:rsid w:val="4497145E"/>
    <w:rsid w:val="44DA5E0C"/>
    <w:rsid w:val="44E1092B"/>
    <w:rsid w:val="44FF5255"/>
    <w:rsid w:val="45060392"/>
    <w:rsid w:val="45091972"/>
    <w:rsid w:val="45126D36"/>
    <w:rsid w:val="45181E73"/>
    <w:rsid w:val="45321187"/>
    <w:rsid w:val="45435142"/>
    <w:rsid w:val="455A06DD"/>
    <w:rsid w:val="45816026"/>
    <w:rsid w:val="45997458"/>
    <w:rsid w:val="45A02594"/>
    <w:rsid w:val="45A311BD"/>
    <w:rsid w:val="45C5494C"/>
    <w:rsid w:val="45E2495B"/>
    <w:rsid w:val="45E83F3B"/>
    <w:rsid w:val="45FB5AEF"/>
    <w:rsid w:val="46040D75"/>
    <w:rsid w:val="461E4E80"/>
    <w:rsid w:val="463B050F"/>
    <w:rsid w:val="464A34FF"/>
    <w:rsid w:val="465670F7"/>
    <w:rsid w:val="46743E55"/>
    <w:rsid w:val="467A50A4"/>
    <w:rsid w:val="468C0D6B"/>
    <w:rsid w:val="468E4AE3"/>
    <w:rsid w:val="46A75BA4"/>
    <w:rsid w:val="46BC33FE"/>
    <w:rsid w:val="46E2098A"/>
    <w:rsid w:val="47242D51"/>
    <w:rsid w:val="47541888"/>
    <w:rsid w:val="47694C08"/>
    <w:rsid w:val="4799373F"/>
    <w:rsid w:val="47B5523B"/>
    <w:rsid w:val="47D14C87"/>
    <w:rsid w:val="47FE28ED"/>
    <w:rsid w:val="482F703F"/>
    <w:rsid w:val="4893018E"/>
    <w:rsid w:val="48A979B2"/>
    <w:rsid w:val="48B14D38"/>
    <w:rsid w:val="48D32C81"/>
    <w:rsid w:val="48D34A2F"/>
    <w:rsid w:val="48D662CD"/>
    <w:rsid w:val="4904108C"/>
    <w:rsid w:val="49155047"/>
    <w:rsid w:val="49423962"/>
    <w:rsid w:val="495913D8"/>
    <w:rsid w:val="496833C9"/>
    <w:rsid w:val="49816239"/>
    <w:rsid w:val="498B5309"/>
    <w:rsid w:val="49BF6D61"/>
    <w:rsid w:val="49D15412"/>
    <w:rsid w:val="4A056E6A"/>
    <w:rsid w:val="4A086C1A"/>
    <w:rsid w:val="4A0F7CE8"/>
    <w:rsid w:val="4A34774F"/>
    <w:rsid w:val="4A606796"/>
    <w:rsid w:val="4A7933B4"/>
    <w:rsid w:val="4AAE12AF"/>
    <w:rsid w:val="4AD11442"/>
    <w:rsid w:val="4AF12437"/>
    <w:rsid w:val="4B0B04B0"/>
    <w:rsid w:val="4B1355B6"/>
    <w:rsid w:val="4B2E419E"/>
    <w:rsid w:val="4B4340EE"/>
    <w:rsid w:val="4B441C14"/>
    <w:rsid w:val="4B60265A"/>
    <w:rsid w:val="4B6C4CC7"/>
    <w:rsid w:val="4B906C07"/>
    <w:rsid w:val="4BE86A43"/>
    <w:rsid w:val="4C1B2975"/>
    <w:rsid w:val="4C4B2223"/>
    <w:rsid w:val="4C575977"/>
    <w:rsid w:val="4C5916EF"/>
    <w:rsid w:val="4C64086E"/>
    <w:rsid w:val="4CA30BBC"/>
    <w:rsid w:val="4CC34DBA"/>
    <w:rsid w:val="4CD64AED"/>
    <w:rsid w:val="4CDD40CE"/>
    <w:rsid w:val="4CE216E4"/>
    <w:rsid w:val="4CE511D4"/>
    <w:rsid w:val="4CF92A13"/>
    <w:rsid w:val="4D30352B"/>
    <w:rsid w:val="4D386F9E"/>
    <w:rsid w:val="4D4D4934"/>
    <w:rsid w:val="4D8608E4"/>
    <w:rsid w:val="4DFC67D6"/>
    <w:rsid w:val="4E0A5B5B"/>
    <w:rsid w:val="4E524648"/>
    <w:rsid w:val="4E5C7274"/>
    <w:rsid w:val="4E724CEA"/>
    <w:rsid w:val="4E74636C"/>
    <w:rsid w:val="4EAF55F6"/>
    <w:rsid w:val="4EFE20DA"/>
    <w:rsid w:val="4F702FD7"/>
    <w:rsid w:val="4F840831"/>
    <w:rsid w:val="4F8E6AAA"/>
    <w:rsid w:val="4F980780"/>
    <w:rsid w:val="4F9D7B44"/>
    <w:rsid w:val="4FC43323"/>
    <w:rsid w:val="4FE41A35"/>
    <w:rsid w:val="4FF82FCD"/>
    <w:rsid w:val="5017597E"/>
    <w:rsid w:val="50406E4E"/>
    <w:rsid w:val="50586D12"/>
    <w:rsid w:val="507F724A"/>
    <w:rsid w:val="50947199"/>
    <w:rsid w:val="50A867A1"/>
    <w:rsid w:val="50B415EA"/>
    <w:rsid w:val="50BE7D72"/>
    <w:rsid w:val="50CC6933"/>
    <w:rsid w:val="5119144D"/>
    <w:rsid w:val="51A21442"/>
    <w:rsid w:val="522E0F28"/>
    <w:rsid w:val="52455AC6"/>
    <w:rsid w:val="52491AC3"/>
    <w:rsid w:val="524D7600"/>
    <w:rsid w:val="52500E9E"/>
    <w:rsid w:val="52850AA4"/>
    <w:rsid w:val="52946FDD"/>
    <w:rsid w:val="529C2335"/>
    <w:rsid w:val="52C27FEE"/>
    <w:rsid w:val="52E066C6"/>
    <w:rsid w:val="53004672"/>
    <w:rsid w:val="530A3743"/>
    <w:rsid w:val="532760A3"/>
    <w:rsid w:val="53312A7E"/>
    <w:rsid w:val="536777EC"/>
    <w:rsid w:val="537A08C9"/>
    <w:rsid w:val="5386726D"/>
    <w:rsid w:val="5398156E"/>
    <w:rsid w:val="53B35B89"/>
    <w:rsid w:val="53B37737"/>
    <w:rsid w:val="53B84F4D"/>
    <w:rsid w:val="53D63625"/>
    <w:rsid w:val="53DA1367"/>
    <w:rsid w:val="54104D89"/>
    <w:rsid w:val="542645AC"/>
    <w:rsid w:val="546E1AAF"/>
    <w:rsid w:val="54CF254E"/>
    <w:rsid w:val="54F63F7F"/>
    <w:rsid w:val="54F75F49"/>
    <w:rsid w:val="55144C39"/>
    <w:rsid w:val="551663CF"/>
    <w:rsid w:val="55283F79"/>
    <w:rsid w:val="556278C2"/>
    <w:rsid w:val="556E698A"/>
    <w:rsid w:val="55853555"/>
    <w:rsid w:val="56290384"/>
    <w:rsid w:val="56582A17"/>
    <w:rsid w:val="567105B4"/>
    <w:rsid w:val="567315FF"/>
    <w:rsid w:val="56EC3073"/>
    <w:rsid w:val="56F95FA8"/>
    <w:rsid w:val="57016C0B"/>
    <w:rsid w:val="571E156B"/>
    <w:rsid w:val="574511ED"/>
    <w:rsid w:val="575B456D"/>
    <w:rsid w:val="575E405D"/>
    <w:rsid w:val="57777F01"/>
    <w:rsid w:val="578735B4"/>
    <w:rsid w:val="57AF563E"/>
    <w:rsid w:val="57CA6DF2"/>
    <w:rsid w:val="581B3CFC"/>
    <w:rsid w:val="583A23D4"/>
    <w:rsid w:val="58450BD8"/>
    <w:rsid w:val="5870229A"/>
    <w:rsid w:val="58733202"/>
    <w:rsid w:val="587F6039"/>
    <w:rsid w:val="58823D7B"/>
    <w:rsid w:val="58B65AA2"/>
    <w:rsid w:val="58CB5722"/>
    <w:rsid w:val="58F04223"/>
    <w:rsid w:val="59077FA0"/>
    <w:rsid w:val="592025E4"/>
    <w:rsid w:val="59260BAB"/>
    <w:rsid w:val="595A2602"/>
    <w:rsid w:val="59643FFD"/>
    <w:rsid w:val="597D409E"/>
    <w:rsid w:val="59AC7302"/>
    <w:rsid w:val="59C26B25"/>
    <w:rsid w:val="5A0233C6"/>
    <w:rsid w:val="5A386DC6"/>
    <w:rsid w:val="5A403EEE"/>
    <w:rsid w:val="5A5A4FB0"/>
    <w:rsid w:val="5A5F25C6"/>
    <w:rsid w:val="5A9009D2"/>
    <w:rsid w:val="5AD308BE"/>
    <w:rsid w:val="5AD76600"/>
    <w:rsid w:val="5AF30F60"/>
    <w:rsid w:val="5B215ACE"/>
    <w:rsid w:val="5B24111A"/>
    <w:rsid w:val="5B2B4256"/>
    <w:rsid w:val="5B305D11"/>
    <w:rsid w:val="5B4041A6"/>
    <w:rsid w:val="5B4812AC"/>
    <w:rsid w:val="5B7C4DA2"/>
    <w:rsid w:val="5BA20303"/>
    <w:rsid w:val="5C03574D"/>
    <w:rsid w:val="5C076A71"/>
    <w:rsid w:val="5C4C6B7A"/>
    <w:rsid w:val="5C7A05DA"/>
    <w:rsid w:val="5C8E2CEF"/>
    <w:rsid w:val="5CA00C74"/>
    <w:rsid w:val="5CB14C2F"/>
    <w:rsid w:val="5CBC5AAE"/>
    <w:rsid w:val="5CCD7CBB"/>
    <w:rsid w:val="5CFB5EAA"/>
    <w:rsid w:val="5D041203"/>
    <w:rsid w:val="5D504448"/>
    <w:rsid w:val="5D663C6C"/>
    <w:rsid w:val="5D891708"/>
    <w:rsid w:val="5D964551"/>
    <w:rsid w:val="5DA85BD0"/>
    <w:rsid w:val="5DAD4CDB"/>
    <w:rsid w:val="5DD62B9F"/>
    <w:rsid w:val="5E18031F"/>
    <w:rsid w:val="5E31427A"/>
    <w:rsid w:val="5E345B18"/>
    <w:rsid w:val="5E51113B"/>
    <w:rsid w:val="5E8425FB"/>
    <w:rsid w:val="5E8E034B"/>
    <w:rsid w:val="5E9C2F2A"/>
    <w:rsid w:val="5E9D190F"/>
    <w:rsid w:val="5EA92062"/>
    <w:rsid w:val="5F0B1A26"/>
    <w:rsid w:val="5F304531"/>
    <w:rsid w:val="5F3062DF"/>
    <w:rsid w:val="5F3202A9"/>
    <w:rsid w:val="5F4E6765"/>
    <w:rsid w:val="5F526256"/>
    <w:rsid w:val="5F587050"/>
    <w:rsid w:val="5F773F0E"/>
    <w:rsid w:val="5F913938"/>
    <w:rsid w:val="5F9C6D00"/>
    <w:rsid w:val="5FA01F9D"/>
    <w:rsid w:val="5FC609F2"/>
    <w:rsid w:val="5FDA4F06"/>
    <w:rsid w:val="600A2FD4"/>
    <w:rsid w:val="603D3AFA"/>
    <w:rsid w:val="60681AA9"/>
    <w:rsid w:val="60A46F85"/>
    <w:rsid w:val="60D13AF2"/>
    <w:rsid w:val="60D61108"/>
    <w:rsid w:val="60E76E71"/>
    <w:rsid w:val="60EC26DA"/>
    <w:rsid w:val="614147D4"/>
    <w:rsid w:val="6155202D"/>
    <w:rsid w:val="615F10FE"/>
    <w:rsid w:val="61723EC8"/>
    <w:rsid w:val="61882403"/>
    <w:rsid w:val="61A44D62"/>
    <w:rsid w:val="61E41603"/>
    <w:rsid w:val="61F5613D"/>
    <w:rsid w:val="62061579"/>
    <w:rsid w:val="6243457B"/>
    <w:rsid w:val="62522A10"/>
    <w:rsid w:val="626A7D5A"/>
    <w:rsid w:val="629B6165"/>
    <w:rsid w:val="62A0377C"/>
    <w:rsid w:val="62BD60DC"/>
    <w:rsid w:val="62D6719E"/>
    <w:rsid w:val="6300246C"/>
    <w:rsid w:val="630C0E11"/>
    <w:rsid w:val="6311467A"/>
    <w:rsid w:val="634E002F"/>
    <w:rsid w:val="63A213FB"/>
    <w:rsid w:val="63C17E4E"/>
    <w:rsid w:val="63DA4A6C"/>
    <w:rsid w:val="63F43D7F"/>
    <w:rsid w:val="64356146"/>
    <w:rsid w:val="645E744B"/>
    <w:rsid w:val="6461518D"/>
    <w:rsid w:val="649015CE"/>
    <w:rsid w:val="64E77440"/>
    <w:rsid w:val="64FB113D"/>
    <w:rsid w:val="65081AC1"/>
    <w:rsid w:val="6525440C"/>
    <w:rsid w:val="652561BA"/>
    <w:rsid w:val="652D59E4"/>
    <w:rsid w:val="655D3BA6"/>
    <w:rsid w:val="65BF660F"/>
    <w:rsid w:val="65EB2F60"/>
    <w:rsid w:val="65F53DDF"/>
    <w:rsid w:val="661D10A8"/>
    <w:rsid w:val="66486604"/>
    <w:rsid w:val="66C057B2"/>
    <w:rsid w:val="66D165FA"/>
    <w:rsid w:val="672506F4"/>
    <w:rsid w:val="67277FC8"/>
    <w:rsid w:val="6729732D"/>
    <w:rsid w:val="672F1572"/>
    <w:rsid w:val="672F3320"/>
    <w:rsid w:val="674548F2"/>
    <w:rsid w:val="674E712F"/>
    <w:rsid w:val="674E7C4A"/>
    <w:rsid w:val="677156E7"/>
    <w:rsid w:val="67F500C6"/>
    <w:rsid w:val="680E1188"/>
    <w:rsid w:val="684C04B5"/>
    <w:rsid w:val="68B00491"/>
    <w:rsid w:val="68C06926"/>
    <w:rsid w:val="68DB533D"/>
    <w:rsid w:val="69221585"/>
    <w:rsid w:val="694401A7"/>
    <w:rsid w:val="6965127B"/>
    <w:rsid w:val="69790883"/>
    <w:rsid w:val="69A55B1C"/>
    <w:rsid w:val="69AF0748"/>
    <w:rsid w:val="6A042842"/>
    <w:rsid w:val="6A2E7F6E"/>
    <w:rsid w:val="6A55309E"/>
    <w:rsid w:val="6A6D2626"/>
    <w:rsid w:val="6A8120E5"/>
    <w:rsid w:val="6AB44268"/>
    <w:rsid w:val="6AC56475"/>
    <w:rsid w:val="6B166CD1"/>
    <w:rsid w:val="6B2A62D8"/>
    <w:rsid w:val="6B4078AA"/>
    <w:rsid w:val="6B517D09"/>
    <w:rsid w:val="6B5415A7"/>
    <w:rsid w:val="6B56531F"/>
    <w:rsid w:val="6B6C68F1"/>
    <w:rsid w:val="6C044D7B"/>
    <w:rsid w:val="6C0609A5"/>
    <w:rsid w:val="6C0905E4"/>
    <w:rsid w:val="6C180827"/>
    <w:rsid w:val="6C2E3BA6"/>
    <w:rsid w:val="6C3B62C3"/>
    <w:rsid w:val="6C613F7C"/>
    <w:rsid w:val="6C751BF9"/>
    <w:rsid w:val="6C9F2CF6"/>
    <w:rsid w:val="6CB06CB1"/>
    <w:rsid w:val="6CBF0CA2"/>
    <w:rsid w:val="6CFA617E"/>
    <w:rsid w:val="6CFC5A53"/>
    <w:rsid w:val="6D3247B6"/>
    <w:rsid w:val="6D5362F6"/>
    <w:rsid w:val="6DA06D26"/>
    <w:rsid w:val="6DA32372"/>
    <w:rsid w:val="6DAD31F1"/>
    <w:rsid w:val="6DAF19C4"/>
    <w:rsid w:val="6DF130DE"/>
    <w:rsid w:val="6EAB5982"/>
    <w:rsid w:val="6EDC4386"/>
    <w:rsid w:val="6EF410D7"/>
    <w:rsid w:val="6F0D3F47"/>
    <w:rsid w:val="6F32398A"/>
    <w:rsid w:val="6F332352"/>
    <w:rsid w:val="6F49158C"/>
    <w:rsid w:val="6F563266"/>
    <w:rsid w:val="6F7371FF"/>
    <w:rsid w:val="6F751AEC"/>
    <w:rsid w:val="6FE0165C"/>
    <w:rsid w:val="701D640C"/>
    <w:rsid w:val="70227EC6"/>
    <w:rsid w:val="70241EE0"/>
    <w:rsid w:val="70457711"/>
    <w:rsid w:val="70664CBA"/>
    <w:rsid w:val="706758D9"/>
    <w:rsid w:val="707B3132"/>
    <w:rsid w:val="70C95159"/>
    <w:rsid w:val="716F0EE9"/>
    <w:rsid w:val="718F3339"/>
    <w:rsid w:val="721D26F3"/>
    <w:rsid w:val="7230662E"/>
    <w:rsid w:val="7245221F"/>
    <w:rsid w:val="725B76BF"/>
    <w:rsid w:val="72A66B8C"/>
    <w:rsid w:val="72AF5315"/>
    <w:rsid w:val="72BC63B0"/>
    <w:rsid w:val="73041B05"/>
    <w:rsid w:val="730B2E93"/>
    <w:rsid w:val="73155AC0"/>
    <w:rsid w:val="732E6B82"/>
    <w:rsid w:val="73497518"/>
    <w:rsid w:val="734B7734"/>
    <w:rsid w:val="738D5656"/>
    <w:rsid w:val="739369E5"/>
    <w:rsid w:val="73B70EF5"/>
    <w:rsid w:val="740022CC"/>
    <w:rsid w:val="740873D3"/>
    <w:rsid w:val="74116287"/>
    <w:rsid w:val="743273F9"/>
    <w:rsid w:val="744D3038"/>
    <w:rsid w:val="7450329B"/>
    <w:rsid w:val="74534AF2"/>
    <w:rsid w:val="7462691E"/>
    <w:rsid w:val="74A5192B"/>
    <w:rsid w:val="74DD43BC"/>
    <w:rsid w:val="75031DFA"/>
    <w:rsid w:val="752124FA"/>
    <w:rsid w:val="75596138"/>
    <w:rsid w:val="757A7E5C"/>
    <w:rsid w:val="759E1D9D"/>
    <w:rsid w:val="75A5137D"/>
    <w:rsid w:val="75CB06B8"/>
    <w:rsid w:val="75DE663D"/>
    <w:rsid w:val="75F419BD"/>
    <w:rsid w:val="75F728CA"/>
    <w:rsid w:val="76157B85"/>
    <w:rsid w:val="761B163F"/>
    <w:rsid w:val="76766876"/>
    <w:rsid w:val="76805946"/>
    <w:rsid w:val="76A258BD"/>
    <w:rsid w:val="774B1AB0"/>
    <w:rsid w:val="776D5ECB"/>
    <w:rsid w:val="7779587C"/>
    <w:rsid w:val="77A41B5E"/>
    <w:rsid w:val="77B84C6C"/>
    <w:rsid w:val="77B873FF"/>
    <w:rsid w:val="77D777E8"/>
    <w:rsid w:val="78061E7B"/>
    <w:rsid w:val="78174088"/>
    <w:rsid w:val="785030F6"/>
    <w:rsid w:val="78E73A5B"/>
    <w:rsid w:val="78EE6B97"/>
    <w:rsid w:val="78F148D9"/>
    <w:rsid w:val="794E5782"/>
    <w:rsid w:val="79591BB3"/>
    <w:rsid w:val="798219D5"/>
    <w:rsid w:val="799A6D1F"/>
    <w:rsid w:val="79DA35C0"/>
    <w:rsid w:val="7A1F7224"/>
    <w:rsid w:val="7A2860D9"/>
    <w:rsid w:val="7A5C2227"/>
    <w:rsid w:val="7A8A6D94"/>
    <w:rsid w:val="7AC1208A"/>
    <w:rsid w:val="7AC53928"/>
    <w:rsid w:val="7AE2272C"/>
    <w:rsid w:val="7B073F40"/>
    <w:rsid w:val="7B4E6013"/>
    <w:rsid w:val="7B5A5973"/>
    <w:rsid w:val="7B793BC6"/>
    <w:rsid w:val="7B8657AD"/>
    <w:rsid w:val="7B9A3006"/>
    <w:rsid w:val="7BA474D9"/>
    <w:rsid w:val="7BC2255D"/>
    <w:rsid w:val="7BDC361F"/>
    <w:rsid w:val="7C211B08"/>
    <w:rsid w:val="7C440773"/>
    <w:rsid w:val="7C464F3C"/>
    <w:rsid w:val="7C605FFE"/>
    <w:rsid w:val="7CA67789"/>
    <w:rsid w:val="7CC51603"/>
    <w:rsid w:val="7CD75B94"/>
    <w:rsid w:val="7D221505"/>
    <w:rsid w:val="7D2D1C58"/>
    <w:rsid w:val="7D4E22FA"/>
    <w:rsid w:val="7DC26844"/>
    <w:rsid w:val="7DF10ED8"/>
    <w:rsid w:val="7DF34C50"/>
    <w:rsid w:val="7E0806FB"/>
    <w:rsid w:val="7E543675"/>
    <w:rsid w:val="7E5E47BF"/>
    <w:rsid w:val="7EA66073"/>
    <w:rsid w:val="7EAB1087"/>
    <w:rsid w:val="7F111831"/>
    <w:rsid w:val="7F1135E0"/>
    <w:rsid w:val="7F207CC7"/>
    <w:rsid w:val="7F25708B"/>
    <w:rsid w:val="7F2666F9"/>
    <w:rsid w:val="7F2D4191"/>
    <w:rsid w:val="7F6A7194"/>
    <w:rsid w:val="7F903EE6"/>
    <w:rsid w:val="7FAE0E2E"/>
    <w:rsid w:val="7FB328E9"/>
    <w:rsid w:val="7FB36445"/>
    <w:rsid w:val="7FBF30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1"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pPr>
    <w:rPr>
      <w:rFonts w:ascii="Times New Roman" w:hAnsi="Times New Roman" w:eastAsia="宋体" w:cs="Times New Roman"/>
      <w:kern w:val="2"/>
      <w:sz w:val="24"/>
      <w:szCs w:val="22"/>
      <w:lang w:val="en-US" w:eastAsia="zh-CN" w:bidi="ar-SA"/>
    </w:rPr>
  </w:style>
  <w:style w:type="paragraph" w:styleId="3">
    <w:name w:val="heading 1"/>
    <w:basedOn w:val="1"/>
    <w:next w:val="1"/>
    <w:qFormat/>
    <w:uiPriority w:val="9"/>
    <w:pPr>
      <w:spacing w:before="3"/>
      <w:ind w:left="1180" w:right="1108" w:firstLine="600"/>
      <w:outlineLvl w:val="0"/>
    </w:pPr>
    <w:rPr>
      <w:sz w:val="30"/>
      <w:szCs w:val="30"/>
    </w:rPr>
  </w:style>
  <w:style w:type="paragraph" w:styleId="4">
    <w:name w:val="heading 3"/>
    <w:basedOn w:val="1"/>
    <w:next w:val="1"/>
    <w:qFormat/>
    <w:uiPriority w:val="1"/>
    <w:pPr>
      <w:spacing w:before="1"/>
      <w:ind w:left="1408"/>
      <w:outlineLvl w:val="2"/>
    </w:pPr>
    <w:rPr>
      <w:b/>
      <w:bCs/>
      <w:sz w:val="24"/>
      <w:szCs w:val="24"/>
    </w:rPr>
  </w:style>
  <w:style w:type="paragraph" w:styleId="2">
    <w:name w:val="heading 4"/>
    <w:basedOn w:val="1"/>
    <w:next w:val="1"/>
    <w:unhideWhenUsed/>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toc 7"/>
    <w:basedOn w:val="1"/>
    <w:next w:val="1"/>
    <w:qFormat/>
    <w:uiPriority w:val="0"/>
    <w:pPr>
      <w:jc w:val="center"/>
    </w:pPr>
    <w:rPr>
      <w:kern w:val="0"/>
      <w:sz w:val="21"/>
    </w:rPr>
  </w:style>
  <w:style w:type="paragraph" w:styleId="6">
    <w:name w:val="Normal Indent"/>
    <w:basedOn w:val="1"/>
    <w:next w:val="1"/>
    <w:qFormat/>
    <w:uiPriority w:val="0"/>
    <w:pPr>
      <w:ind w:firstLine="420" w:firstLineChars="200"/>
    </w:pPr>
  </w:style>
  <w:style w:type="paragraph" w:styleId="7">
    <w:name w:val="caption"/>
    <w:basedOn w:val="1"/>
    <w:next w:val="1"/>
    <w:qFormat/>
    <w:uiPriority w:val="0"/>
    <w:pPr>
      <w:widowControl w:val="0"/>
      <w:spacing w:line="120" w:lineRule="atLeast"/>
      <w:jc w:val="both"/>
    </w:pPr>
    <w:rPr>
      <w:rFonts w:ascii="Arial" w:hAnsi="Arial" w:eastAsia="黑体" w:cs="Times New Roman"/>
      <w:kern w:val="2"/>
      <w:sz w:val="20"/>
      <w:lang w:val="en-US" w:eastAsia="zh-CN" w:bidi="ar-SA"/>
    </w:rPr>
  </w:style>
  <w:style w:type="paragraph" w:styleId="8">
    <w:name w:val="annotation text"/>
    <w:basedOn w:val="1"/>
    <w:semiHidden/>
    <w:qFormat/>
    <w:uiPriority w:val="99"/>
    <w:pPr>
      <w:autoSpaceDE/>
      <w:autoSpaceDN/>
    </w:pPr>
    <w:rPr>
      <w:rFonts w:ascii="Calibri" w:hAnsi="Calibri" w:cs="Calibri"/>
      <w:kern w:val="2"/>
      <w:sz w:val="28"/>
      <w:szCs w:val="28"/>
      <w:lang w:val="en-US" w:bidi="ar-SA"/>
    </w:rPr>
  </w:style>
  <w:style w:type="paragraph" w:styleId="9">
    <w:name w:val="Body Text"/>
    <w:basedOn w:val="1"/>
    <w:qFormat/>
    <w:uiPriority w:val="1"/>
    <w:rPr>
      <w:sz w:val="24"/>
      <w:szCs w:val="24"/>
    </w:rPr>
  </w:style>
  <w:style w:type="paragraph" w:styleId="10">
    <w:name w:val="Body Text Indent"/>
    <w:basedOn w:val="1"/>
    <w:qFormat/>
    <w:uiPriority w:val="0"/>
    <w:pPr>
      <w:spacing w:after="120" w:line="400" w:lineRule="exact"/>
      <w:ind w:firstLine="480"/>
    </w:pPr>
    <w:rPr>
      <w:rFonts w:ascii="Times New Roman" w:hAnsi="Times New Roman" w:eastAsia="楷体_GB2312" w:cs="Times New Roman"/>
      <w:kern w:val="2"/>
      <w:szCs w:val="20"/>
    </w:rPr>
  </w:style>
  <w:style w:type="paragraph" w:styleId="11">
    <w:name w:val="Plain Text"/>
    <w:basedOn w:val="1"/>
    <w:qFormat/>
    <w:uiPriority w:val="0"/>
    <w:rPr>
      <w:rFonts w:ascii="宋体" w:hAnsi="Courier New" w:cs="Courier New"/>
      <w:szCs w:val="21"/>
    </w:rPr>
  </w:style>
  <w:style w:type="paragraph" w:styleId="12">
    <w:name w:val="footer"/>
    <w:basedOn w:val="1"/>
    <w:unhideWhenUsed/>
    <w:qFormat/>
    <w:uiPriority w:val="99"/>
    <w:pPr>
      <w:tabs>
        <w:tab w:val="center" w:pos="4153"/>
        <w:tab w:val="right" w:pos="8306"/>
      </w:tabs>
      <w:snapToGrid w:val="0"/>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Normal (Web)"/>
    <w:basedOn w:val="1"/>
    <w:qFormat/>
    <w:uiPriority w:val="0"/>
    <w:pPr>
      <w:widowControl/>
      <w:spacing w:before="100" w:beforeAutospacing="1" w:after="100" w:afterAutospacing="1"/>
      <w:jc w:val="left"/>
    </w:pPr>
    <w:rPr>
      <w:rFonts w:ascii="宋体" w:hAnsi="宋体"/>
      <w:kern w:val="0"/>
      <w:sz w:val="24"/>
    </w:rPr>
  </w:style>
  <w:style w:type="paragraph" w:styleId="16">
    <w:name w:val="Title"/>
    <w:basedOn w:val="1"/>
    <w:next w:val="1"/>
    <w:qFormat/>
    <w:uiPriority w:val="10"/>
    <w:pPr>
      <w:jc w:val="center"/>
    </w:pPr>
    <w:rPr>
      <w:rFonts w:ascii="Times New Roman" w:hAnsi="Times New Roman" w:eastAsia="宋体" w:cs="Times New Roman"/>
      <w:bCs/>
      <w:kern w:val="2"/>
      <w:sz w:val="21"/>
      <w:szCs w:val="32"/>
      <w:lang w:val="en-US" w:eastAsia="zh-CN" w:bidi="ar-SA"/>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style>
  <w:style w:type="paragraph" w:customStyle="1" w:styleId="21">
    <w:name w:val="xl27"/>
    <w:basedOn w:val="1"/>
    <w:next w:val="1"/>
    <w:autoRedefine/>
    <w:qFormat/>
    <w:uiPriority w:val="0"/>
    <w:pPr>
      <w:widowControl/>
      <w:pBdr>
        <w:top w:val="single" w:color="auto" w:sz="12" w:space="0"/>
        <w:left w:val="single" w:color="auto" w:sz="4" w:space="0"/>
        <w:bottom w:val="single" w:color="auto" w:sz="4" w:space="0"/>
        <w:right w:val="single" w:color="auto" w:sz="4" w:space="0"/>
      </w:pBdr>
      <w:shd w:val="clear" w:color="auto" w:fill="CCCCFF"/>
      <w:spacing w:before="100" w:beforeLines="0" w:beforeAutospacing="1" w:after="100" w:afterLines="0" w:afterAutospacing="1"/>
      <w:jc w:val="center"/>
    </w:pPr>
    <w:rPr>
      <w:rFonts w:ascii="宋体" w:hAnsi="宋体"/>
      <w:kern w:val="0"/>
      <w:sz w:val="24"/>
    </w:rPr>
  </w:style>
  <w:style w:type="paragraph" w:customStyle="1" w:styleId="22">
    <w:name w:val="君邦正文"/>
    <w:qFormat/>
    <w:uiPriority w:val="0"/>
    <w:pPr>
      <w:spacing w:after="60" w:line="360" w:lineRule="auto"/>
      <w:ind w:firstLine="480" w:firstLineChars="200"/>
      <w:jc w:val="both"/>
    </w:pPr>
    <w:rPr>
      <w:rFonts w:ascii="Calibri" w:hAnsi="Calibri" w:eastAsia="宋体" w:cs="Times New Roman"/>
      <w:bCs/>
      <w:snapToGrid w:val="0"/>
      <w:sz w:val="24"/>
      <w:lang w:val="en-US" w:eastAsia="zh-CN" w:bidi="ar-SA"/>
    </w:rPr>
  </w:style>
  <w:style w:type="paragraph" w:customStyle="1" w:styleId="23">
    <w:name w:val="Table Paragraph"/>
    <w:basedOn w:val="1"/>
    <w:qFormat/>
    <w:uiPriority w:val="1"/>
  </w:style>
  <w:style w:type="paragraph" w:customStyle="1" w:styleId="24">
    <w:name w:val="正文C"/>
    <w:basedOn w:val="1"/>
    <w:qFormat/>
    <w:uiPriority w:val="0"/>
    <w:pPr>
      <w:spacing w:line="520" w:lineRule="exact"/>
      <w:ind w:firstLine="480"/>
    </w:pPr>
    <w:rPr>
      <w:rFonts w:ascii="Times New Roman" w:hAnsi="Times New Roman" w:eastAsia="宋体" w:cs="Times New Roman"/>
      <w:sz w:val="24"/>
      <w:szCs w:val="24"/>
      <w:lang w:val="zh-CN" w:eastAsia="zh-CN"/>
    </w:rPr>
  </w:style>
  <w:style w:type="paragraph" w:customStyle="1" w:styleId="25">
    <w:name w:val="标准段落"/>
    <w:basedOn w:val="1"/>
    <w:qFormat/>
    <w:uiPriority w:val="0"/>
    <w:pPr>
      <w:adjustRightInd w:val="0"/>
      <w:snapToGrid w:val="0"/>
      <w:spacing w:before="156" w:beforeLines="50" w:line="360" w:lineRule="auto"/>
      <w:ind w:firstLine="200" w:firstLineChars="200"/>
    </w:pPr>
    <w:rPr>
      <w:sz w:val="28"/>
    </w:rPr>
  </w:style>
  <w:style w:type="paragraph" w:customStyle="1" w:styleId="26">
    <w:name w:val="表头样式1"/>
    <w:basedOn w:val="1"/>
    <w:qFormat/>
    <w:uiPriority w:val="0"/>
    <w:pPr>
      <w:adjustRightInd w:val="0"/>
      <w:snapToGrid w:val="0"/>
      <w:spacing w:line="360" w:lineRule="auto"/>
      <w:jc w:val="center"/>
    </w:pPr>
    <w:rPr>
      <w:rFonts w:eastAsia="黑体"/>
      <w:b/>
      <w:sz w:val="24"/>
      <w:szCs w:val="20"/>
    </w:rPr>
  </w:style>
  <w:style w:type="paragraph" w:customStyle="1" w:styleId="27">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28">
    <w:name w:val="表格1"/>
    <w:basedOn w:val="1"/>
    <w:next w:val="1"/>
    <w:qFormat/>
    <w:uiPriority w:val="0"/>
    <w:pPr>
      <w:adjustRightInd w:val="0"/>
      <w:snapToGrid w:val="0"/>
      <w:jc w:val="center"/>
    </w:pPr>
    <w:rPr>
      <w:rFonts w:ascii="仿宋_GB2312" w:eastAsia="仿宋_GB2312"/>
      <w:sz w:val="24"/>
    </w:rPr>
  </w:style>
  <w:style w:type="paragraph" w:customStyle="1" w:styleId="29">
    <w:name w:val="01-正文"/>
    <w:basedOn w:val="1"/>
    <w:qFormat/>
    <w:uiPriority w:val="0"/>
    <w:pPr>
      <w:adjustRightInd w:val="0"/>
      <w:snapToGrid w:val="0"/>
      <w:spacing w:line="360" w:lineRule="auto"/>
      <w:ind w:firstLine="480" w:firstLineChars="200"/>
    </w:pPr>
    <w:rPr>
      <w:sz w:val="24"/>
    </w:rPr>
  </w:style>
  <w:style w:type="paragraph" w:customStyle="1" w:styleId="30">
    <w:name w:val="表内格式"/>
    <w:basedOn w:val="31"/>
    <w:qFormat/>
    <w:uiPriority w:val="0"/>
    <w:pPr>
      <w:spacing w:line="240" w:lineRule="exact"/>
      <w:jc w:val="center"/>
    </w:pPr>
    <w:rPr>
      <w:kern w:val="2"/>
      <w:sz w:val="21"/>
      <w:szCs w:val="20"/>
    </w:rPr>
  </w:style>
  <w:style w:type="paragraph" w:customStyle="1" w:styleId="31">
    <w:name w:val="表头"/>
    <w:basedOn w:val="32"/>
    <w:next w:val="1"/>
    <w:qFormat/>
    <w:uiPriority w:val="0"/>
    <w:pPr>
      <w:spacing w:line="360" w:lineRule="auto"/>
      <w:jc w:val="center"/>
    </w:pPr>
    <w:rPr>
      <w:rFonts w:ascii="Times New Roman" w:hAnsi="Times New Roman" w:eastAsia="黑体"/>
      <w:b/>
      <w:sz w:val="24"/>
    </w:rPr>
  </w:style>
  <w:style w:type="paragraph" w:customStyle="1" w:styleId="32">
    <w:name w:val="样式1"/>
    <w:basedOn w:val="6"/>
    <w:next w:val="1"/>
    <w:autoRedefine/>
    <w:qFormat/>
    <w:uiPriority w:val="99"/>
    <w:pPr>
      <w:spacing w:beforeLines="0"/>
      <w:ind w:firstLine="560" w:firstLineChars="200"/>
    </w:pPr>
    <w:rPr>
      <w:rFonts w:ascii="宋体" w:hAnsi="宋体" w:cs="宋体"/>
    </w:rPr>
  </w:style>
  <w:style w:type="paragraph" w:customStyle="1" w:styleId="33">
    <w:name w:val="报告表正文"/>
    <w:basedOn w:val="1"/>
    <w:autoRedefine/>
    <w:qFormat/>
    <w:uiPriority w:val="0"/>
    <w:pPr>
      <w:ind w:firstLine="200" w:firstLineChars="200"/>
    </w:pPr>
    <w:rPr>
      <w:rFonts w:eastAsia="楷体_GB2312"/>
    </w:rPr>
  </w:style>
  <w:style w:type="paragraph" w:customStyle="1" w:styleId="34">
    <w:name w:val="表格居中"/>
    <w:basedOn w:val="1"/>
    <w:qFormat/>
    <w:uiPriority w:val="0"/>
    <w:pPr>
      <w:jc w:val="center"/>
    </w:pPr>
    <w:rPr>
      <w:sz w:val="24"/>
      <w:szCs w:val="20"/>
    </w:rPr>
  </w:style>
  <w:style w:type="paragraph" w:customStyle="1" w:styleId="35">
    <w:name w:val="正文（三角山公路）"/>
    <w:basedOn w:val="36"/>
    <w:qFormat/>
    <w:uiPriority w:val="0"/>
    <w:pPr>
      <w:ind w:firstLine="453" w:firstLineChars="200"/>
    </w:pPr>
    <w:rPr>
      <w:lang w:val="zh-CN"/>
    </w:rPr>
  </w:style>
  <w:style w:type="paragraph" w:customStyle="1" w:styleId="36">
    <w:name w:val="正文（三角山2）"/>
    <w:basedOn w:val="1"/>
    <w:qFormat/>
    <w:uiPriority w:val="0"/>
    <w:pPr>
      <w:autoSpaceDE w:val="0"/>
      <w:autoSpaceDN w:val="0"/>
      <w:adjustRightInd w:val="0"/>
      <w:snapToGrid w:val="0"/>
      <w:spacing w:line="360" w:lineRule="auto"/>
      <w:ind w:firstLine="444" w:firstLineChars="196"/>
      <w:jc w:val="left"/>
    </w:pPr>
    <w:rPr>
      <w:sz w:val="24"/>
    </w:rPr>
  </w:style>
  <w:style w:type="paragraph" w:customStyle="1" w:styleId="37">
    <w:name w:val="Body text|1"/>
    <w:basedOn w:val="1"/>
    <w:qFormat/>
    <w:uiPriority w:val="0"/>
    <w:pPr>
      <w:widowControl w:val="0"/>
      <w:shd w:val="clear" w:color="auto" w:fill="auto"/>
      <w:spacing w:line="326" w:lineRule="auto"/>
      <w:ind w:firstLine="400"/>
    </w:pPr>
    <w:rPr>
      <w:rFonts w:ascii="宋体" w:hAnsi="宋体" w:eastAsia="宋体" w:cs="宋体"/>
      <w:sz w:val="28"/>
      <w:szCs w:val="28"/>
      <w:u w:val="none"/>
      <w:shd w:val="clear" w:color="auto" w:fill="auto"/>
      <w:lang w:val="zh-TW" w:eastAsia="zh-TW" w:bidi="zh-TW"/>
    </w:rPr>
  </w:style>
  <w:style w:type="paragraph" w:styleId="38">
    <w:name w:val="No Spacing"/>
    <w:qFormat/>
    <w:uiPriority w:val="1"/>
    <w:pPr>
      <w:widowControl w:val="0"/>
      <w:tabs>
        <w:tab w:val="left" w:pos="2310"/>
        <w:tab w:val="left" w:pos="4620"/>
        <w:tab w:val="left" w:pos="6930"/>
        <w:tab w:val="left" w:pos="9030"/>
      </w:tabs>
      <w:spacing w:line="300" w:lineRule="auto"/>
      <w:ind w:firstLine="200" w:firstLineChars="200"/>
      <w:jc w:val="both"/>
    </w:pPr>
    <w:rPr>
      <w:rFonts w:ascii="Times New Roman" w:hAnsi="Times New Roman" w:eastAsia="宋体" w:cs="Times New Roman"/>
      <w:kern w:val="2"/>
      <w:sz w:val="28"/>
      <w:szCs w:val="22"/>
      <w:lang w:val="en-US" w:eastAsia="zh-CN" w:bidi="ar-SA"/>
    </w:rPr>
  </w:style>
  <w:style w:type="table" w:customStyle="1" w:styleId="39">
    <w:name w:val="Table Normal"/>
    <w:unhideWhenUsed/>
    <w:qFormat/>
    <w:uiPriority w:val="2"/>
    <w:rPr>
      <w:lang w:val="en-US" w:eastAsia="zh-CN" w:bidi="ar-SA"/>
    </w:rPr>
    <w:tblPr>
      <w:tblCellMar>
        <w:top w:w="0" w:type="dxa"/>
        <w:left w:w="0" w:type="dxa"/>
        <w:bottom w:w="0" w:type="dxa"/>
        <w:right w:w="0" w:type="dxa"/>
      </w:tblCellMar>
    </w:tblPr>
  </w:style>
  <w:style w:type="paragraph" w:customStyle="1" w:styleId="40">
    <w:name w:val="_Style 1"/>
    <w:basedOn w:val="1"/>
    <w:qFormat/>
    <w:uiPriority w:val="34"/>
    <w:pPr>
      <w:ind w:firstLine="420" w:firstLineChars="200"/>
    </w:pPr>
  </w:style>
  <w:style w:type="paragraph" w:customStyle="1" w:styleId="41">
    <w:name w:val="正文文本1"/>
    <w:basedOn w:val="1"/>
    <w:next w:val="1"/>
    <w:autoRedefine/>
    <w:qFormat/>
    <w:uiPriority w:val="0"/>
    <w:pPr>
      <w:widowControl/>
      <w:autoSpaceDE w:val="0"/>
      <w:autoSpaceDN w:val="0"/>
      <w:adjustRightInd w:val="0"/>
      <w:spacing w:before="60" w:after="60"/>
      <w:jc w:val="left"/>
    </w:pPr>
    <w:rPr>
      <w:rFonts w:ascii="宋体" w:hAnsi="宋体"/>
      <w:kern w:val="0"/>
      <w:sz w:val="24"/>
      <w:szCs w:val="24"/>
      <w:lang w:eastAsia="en-US"/>
    </w:rPr>
  </w:style>
  <w:style w:type="paragraph" w:customStyle="1" w:styleId="42">
    <w:name w:val="正式文本"/>
    <w:basedOn w:val="1"/>
    <w:autoRedefine/>
    <w:qFormat/>
    <w:uiPriority w:val="0"/>
    <w:pPr>
      <w:adjustRightInd w:val="0"/>
      <w:spacing w:line="500" w:lineRule="exact"/>
      <w:ind w:firstLine="200" w:firstLineChars="200"/>
    </w:pPr>
    <w:rPr>
      <w:rFonts w:ascii="宋体" w:hAnsi="Arial Narrow"/>
      <w:sz w:val="24"/>
    </w:rPr>
  </w:style>
  <w:style w:type="paragraph" w:customStyle="1" w:styleId="43">
    <w:name w:val="表格文字"/>
    <w:basedOn w:val="1"/>
    <w:autoRedefine/>
    <w:qFormat/>
    <w:uiPriority w:val="0"/>
    <w:pPr>
      <w:ind w:firstLine="0" w:firstLineChars="0"/>
      <w:jc w:val="center"/>
    </w:pPr>
    <w:rPr>
      <w:sz w:val="24"/>
    </w:rPr>
  </w:style>
  <w:style w:type="paragraph" w:customStyle="1" w:styleId="44">
    <w:name w:val="表头3"/>
    <w:basedOn w:val="1"/>
    <w:autoRedefine/>
    <w:qFormat/>
    <w:uiPriority w:val="0"/>
    <w:pPr>
      <w:jc w:val="center"/>
    </w:pPr>
    <w:rPr>
      <w:rFonts w:eastAsia="黑体"/>
      <w:sz w:val="24"/>
    </w:rPr>
  </w:style>
  <w:style w:type="paragraph" w:customStyle="1" w:styleId="45">
    <w:name w:val="Table Text"/>
    <w:basedOn w:val="1"/>
    <w:semiHidden/>
    <w:qFormat/>
    <w:uiPriority w:val="0"/>
    <w:rPr>
      <w:rFonts w:ascii="宋体" w:hAnsi="宋体" w:eastAsia="宋体" w:cs="宋体"/>
      <w:sz w:val="21"/>
      <w:szCs w:val="21"/>
      <w:lang w:val="en-US" w:eastAsia="en-US" w:bidi="ar-SA"/>
    </w:rPr>
  </w:style>
  <w:style w:type="paragraph" w:customStyle="1" w:styleId="46">
    <w:name w:val="Default"/>
    <w:basedOn w:val="47"/>
    <w:next w:val="1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7">
    <w:name w:val="纯文本1"/>
    <w:qFormat/>
    <w:uiPriority w:val="0"/>
    <w:pPr>
      <w:adjustRightInd w:val="0"/>
      <w:jc w:val="center"/>
      <w:textAlignment w:val="baseline"/>
    </w:pPr>
    <w:rPr>
      <w:rFonts w:ascii="宋体" w:hAnsi="Courier New"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8.png"/><Relationship Id="rId5" Type="http://schemas.openxmlformats.org/officeDocument/2006/relationships/header" Target="header1.xml"/><Relationship Id="rId49" Type="http://schemas.openxmlformats.org/officeDocument/2006/relationships/image" Target="media/image27.jpeg"/><Relationship Id="rId48" Type="http://schemas.openxmlformats.org/officeDocument/2006/relationships/image" Target="media/image26.jpeg"/><Relationship Id="rId47" Type="http://schemas.openxmlformats.org/officeDocument/2006/relationships/image" Target="media/image25.jpeg"/><Relationship Id="rId46" Type="http://schemas.openxmlformats.org/officeDocument/2006/relationships/image" Target="media/image24.jpeg"/><Relationship Id="rId45" Type="http://schemas.openxmlformats.org/officeDocument/2006/relationships/image" Target="media/image23.jpeg"/><Relationship Id="rId44" Type="http://schemas.openxmlformats.org/officeDocument/2006/relationships/image" Target="media/image22.jpeg"/><Relationship Id="rId43" Type="http://schemas.openxmlformats.org/officeDocument/2006/relationships/image" Target="media/image21.jpeg"/><Relationship Id="rId42" Type="http://schemas.openxmlformats.org/officeDocument/2006/relationships/image" Target="media/image20.jpeg"/><Relationship Id="rId41" Type="http://schemas.openxmlformats.org/officeDocument/2006/relationships/image" Target="media/image19.jpeg"/><Relationship Id="rId40" Type="http://schemas.openxmlformats.org/officeDocument/2006/relationships/image" Target="media/image18.jpeg"/><Relationship Id="rId4" Type="http://schemas.openxmlformats.org/officeDocument/2006/relationships/endnotes" Target="endnotes.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png"/><Relationship Id="rId32" Type="http://schemas.openxmlformats.org/officeDocument/2006/relationships/image" Target="media/image10.emf"/><Relationship Id="rId31" Type="http://schemas.openxmlformats.org/officeDocument/2006/relationships/oleObject" Target="embeddings/oleObject6.bin"/><Relationship Id="rId30" Type="http://schemas.openxmlformats.org/officeDocument/2006/relationships/oleObject" Target="embeddings/oleObject5.bin"/><Relationship Id="rId3" Type="http://schemas.openxmlformats.org/officeDocument/2006/relationships/footnotes" Target="footnotes.xml"/><Relationship Id="rId29" Type="http://schemas.openxmlformats.org/officeDocument/2006/relationships/image" Target="media/image9.emf"/><Relationship Id="rId28" Type="http://schemas.openxmlformats.org/officeDocument/2006/relationships/oleObject" Target="embeddings/oleObject4.bin"/><Relationship Id="rId27" Type="http://schemas.openxmlformats.org/officeDocument/2006/relationships/image" Target="media/image8.emf"/><Relationship Id="rId26" Type="http://schemas.openxmlformats.org/officeDocument/2006/relationships/oleObject" Target="embeddings/oleObject3.bin"/><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emf"/><Relationship Id="rId22" Type="http://schemas.openxmlformats.org/officeDocument/2006/relationships/oleObject" Target="embeddings/oleObject2.bin"/><Relationship Id="rId21" Type="http://schemas.openxmlformats.org/officeDocument/2006/relationships/image" Target="media/image4.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38973</Words>
  <Characters>43035</Characters>
  <Lines>0</Lines>
  <Paragraphs>0</Paragraphs>
  <TotalTime>2</TotalTime>
  <ScaleCrop>false</ScaleCrop>
  <LinksUpToDate>false</LinksUpToDate>
  <CharactersWithSpaces>43535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2024-05-11T09:10:00Z</dcterms:created>
  <dc:creator>薛定谔的猫</dc:creator>
  <cp:lastModifiedBy>悟空</cp:lastModifiedBy>
  <cp:lastPrinted>2024-05-14T07:06:00Z</cp:lastPrinted>
  <dcterms:modified xsi:type="dcterms:W3CDTF">2025-11-20T07:17:33Z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7E2EC8DA79C5443D934EF2D2ECDCF9CC_11</vt:lpwstr>
  </property>
  <property fmtid="{D5CDD505-2E9C-101B-9397-08002B2CF9AE}" pid="4" name="KSOTemplateDocerSaveRecord">
    <vt:lpwstr>eyJoZGlkIjoiNzY1YzZlZDA0ZjIwMmY1MTNhMTIzMDFmODkwY2I1MTUiLCJ1c2VySWQiOiIxMzIwMTIxNjQ5In0=</vt:lpwstr>
  </property>
</Properties>
</file>